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PostgreSQL Stress Test Report</w:t>
      </w:r>
    </w:p>
    <w:p>
      <w:pPr>
        <w:spacing w:after="60"/>
        <w:jc w:val="center"/>
      </w:pPr>
      <w:r>
        <w:rPr>
          <w:color w:val="595959"/>
          <w:sz w:val="26"/>
          <w:szCs w:val="26"/>
        </w:rPr>
        <w:t xml:space="preserve">Steam Project — Backend Infrastructure</w:t>
      </w:r>
    </w:p>
    <w:p>
      <w:pPr>
        <w:pBdr>
          <w:bottom w:val="single" w:color="1F3864" w:sz="6" w:space="8"/>
        </w:pBdr>
        <w:spacing w:after="360"/>
        <w:jc w:val="center"/>
      </w:pPr>
      <w:r>
        <w:rPr>
          <w:i/>
          <w:iCs/>
          <w:color w:val="595959"/>
          <w:sz w:val="20"/>
          <w:szCs w:val="20"/>
        </w:rPr>
        <w:t xml:space="preserve">Direct database-layer load testing with pgbench, isolated from the application API</w:t>
      </w:r>
    </w:p>
    <w:p>
      <w:pPr>
        <w:pStyle w:val="Heading1"/>
        <w:spacing w:after="160" w:before="320"/>
      </w:pPr>
      <w:r>
        <w:t xml:space="preserve">1. Objective</w:t>
      </w:r>
    </w:p>
    <w:p>
      <w:pPr>
        <w:spacing w:after="160"/>
        <w:jc w:val="both"/>
      </w:pPr>
      <w:r>
        <w:t xml:space="preserve">The goal of this test was to determine the maximum sustainable load that the project's PostgreSQL database can handle when accessed directly, independent of the FastAPI backend. Testing the database in isolation (rather than through the API) makes it possible to attribute any performance limits specifically to the database and connection-pooling layer, separate from application-level code.</w:t>
      </w:r>
    </w:p>
    <w:p>
      <w:pPr>
        <w:spacing w:after="160"/>
        <w:jc w:val="both"/>
      </w:pPr>
      <w:r>
        <w:t xml:space="preserve">This report documents five progressively heavier load tests (50 to 2,000 concurrent clients), the configuration used, the results obtained, and the conclusions drawn from them.</w:t>
      </w:r>
    </w:p>
    <w:p>
      <w:pPr>
        <w:pStyle w:val="Heading1"/>
        <w:spacing w:after="160" w:before="320"/>
      </w:pPr>
      <w:r>
        <w:t xml:space="preserve">2. Test Environment &amp; Configuration</w:t>
      </w:r>
    </w:p>
    <w:p>
      <w:pPr>
        <w:spacing w:after="160"/>
        <w:jc w:val="both"/>
      </w:pPr>
      <w:r>
        <w:t xml:space="preserve">All services ran locally via Docker Compose (PostgreSQL, PgBouncer, and the backend container), on a Windows 10/11 host with Docker Desktop (WSL2 backend). The table below summarizes the exact configuration used for every test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Mar>
              <w:top w:type="dxa" w:w="100"/>
              <w:left w:type="dxa" w:w="100"/>
              <w:bottom w:type="dxa" w:w="100"/>
              <w:right w:type="dxa" w:w="100"/>
            </w:tcMar>
          </w:tcPr>
          <w:p>
            <w:pPr>
              <w:jc w:val="left"/>
            </w:pPr>
            <w:r>
              <w:rPr>
                <w:b/>
                <w:bCs/>
                <w:color w:val="000000"/>
                <w:sz w:val="20"/>
                <w:szCs w:val="20"/>
              </w:rPr>
              <w:t xml:space="preserve">Database engine</w:t>
            </w:r>
          </w:p>
        </w:tc>
        <w:tc>
          <w:tcPr>
            <w:tcW w:type="dxa" w:w="6160"/>
            <w:tcMar>
              <w:top w:type="dxa" w:w="100"/>
              <w:left w:type="dxa" w:w="100"/>
              <w:bottom w:type="dxa" w:w="100"/>
              <w:right w:type="dxa" w:w="100"/>
            </w:tcMar>
          </w:tcPr>
          <w:p>
            <w:pPr>
              <w:jc w:val="left"/>
            </w:pPr>
            <w:r>
              <w:rPr>
                <w:b w:val="false"/>
                <w:bCs w:val="false"/>
                <w:color w:val="000000"/>
                <w:sz w:val="20"/>
                <w:szCs w:val="20"/>
              </w:rPr>
              <w:t xml:space="preserve">PostgreSQL 16 (official Docker image)</w:t>
            </w:r>
          </w:p>
        </w:tc>
      </w:tr>
      <w:tr>
        <w:tc>
          <w:tcPr>
            <w:tcW w:type="dxa" w:w="3200"/>
            <w:shd w:fill="DCE6F1" w:val="clear"/>
            <w:tcMar>
              <w:top w:type="dxa" w:w="100"/>
              <w:left w:type="dxa" w:w="100"/>
              <w:bottom w:type="dxa" w:w="100"/>
              <w:right w:type="dxa" w:w="100"/>
            </w:tcMar>
          </w:tcPr>
          <w:p>
            <w:pPr>
              <w:jc w:val="left"/>
            </w:pPr>
            <w:r>
              <w:rPr>
                <w:b/>
                <w:bCs/>
                <w:color w:val="000000"/>
                <w:sz w:val="20"/>
                <w:szCs w:val="20"/>
              </w:rPr>
              <w:t xml:space="preserve">Connection pooler</w:t>
            </w:r>
          </w:p>
        </w:tc>
        <w:tc>
          <w:tcPr>
            <w:tcW w:type="dxa" w:w="6160"/>
            <w:shd w:fill="DCE6F1" w:val="clear"/>
            <w:tcMar>
              <w:top w:type="dxa" w:w="100"/>
              <w:left w:type="dxa" w:w="100"/>
              <w:bottom w:type="dxa" w:w="100"/>
              <w:right w:type="dxa" w:w="100"/>
            </w:tcMar>
          </w:tcPr>
          <w:p>
            <w:pPr>
              <w:jc w:val="left"/>
            </w:pPr>
            <w:r>
              <w:rPr>
                <w:b w:val="false"/>
                <w:bCs w:val="false"/>
                <w:color w:val="000000"/>
                <w:sz w:val="20"/>
                <w:szCs w:val="20"/>
              </w:rPr>
              <w:t xml:space="preserve">PgBouncer, transaction pooling mode</w:t>
            </w:r>
          </w:p>
        </w:tc>
      </w:tr>
      <w:tr>
        <w:tc>
          <w:tcPr>
            <w:tcW w:type="dxa" w:w="3200"/>
            <w:tcMar>
              <w:top w:type="dxa" w:w="100"/>
              <w:left w:type="dxa" w:w="100"/>
              <w:bottom w:type="dxa" w:w="100"/>
              <w:right w:type="dxa" w:w="100"/>
            </w:tcMar>
          </w:tcPr>
          <w:p>
            <w:pPr>
              <w:jc w:val="left"/>
            </w:pPr>
            <w:r>
              <w:rPr>
                <w:b/>
                <w:bCs/>
                <w:color w:val="000000"/>
                <w:sz w:val="20"/>
                <w:szCs w:val="20"/>
              </w:rPr>
              <w:t xml:space="preserve">Pool size (PgBouncer → PostgreSQL)</w:t>
            </w:r>
          </w:p>
        </w:tc>
        <w:tc>
          <w:tcPr>
            <w:tcW w:type="dxa" w:w="6160"/>
            <w:tcMar>
              <w:top w:type="dxa" w:w="100"/>
              <w:left w:type="dxa" w:w="100"/>
              <w:bottom w:type="dxa" w:w="100"/>
              <w:right w:type="dxa" w:w="100"/>
            </w:tcMar>
          </w:tcPr>
          <w:p>
            <w:pPr>
              <w:jc w:val="left"/>
            </w:pPr>
            <w:r>
              <w:rPr>
                <w:b w:val="false"/>
                <w:bCs w:val="false"/>
                <w:color w:val="000000"/>
                <w:sz w:val="20"/>
                <w:szCs w:val="20"/>
              </w:rPr>
              <w:t xml:space="preserve">default_pool_size = 20, min_pool_size = 5, reserve_pool_size = 10</w:t>
            </w:r>
          </w:p>
        </w:tc>
      </w:tr>
      <w:tr>
        <w:tc>
          <w:tcPr>
            <w:tcW w:type="dxa" w:w="3200"/>
            <w:shd w:fill="DCE6F1" w:val="clear"/>
            <w:tcMar>
              <w:top w:type="dxa" w:w="100"/>
              <w:left w:type="dxa" w:w="100"/>
              <w:bottom w:type="dxa" w:w="100"/>
              <w:right w:type="dxa" w:w="100"/>
            </w:tcMar>
          </w:tcPr>
          <w:p>
            <w:pPr>
              <w:jc w:val="left"/>
            </w:pPr>
            <w:r>
              <w:rPr>
                <w:b/>
                <w:bCs/>
                <w:color w:val="000000"/>
                <w:sz w:val="20"/>
                <w:szCs w:val="20"/>
              </w:rPr>
              <w:t xml:space="preserve">PostgreSQL max_connections</w:t>
            </w:r>
          </w:p>
        </w:tc>
        <w:tc>
          <w:tcPr>
            <w:tcW w:type="dxa" w:w="6160"/>
            <w:shd w:fill="DCE6F1" w:val="clear"/>
            <w:tcMar>
              <w:top w:type="dxa" w:w="100"/>
              <w:left w:type="dxa" w:w="100"/>
              <w:bottom w:type="dxa" w:w="100"/>
              <w:right w:type="dxa" w:w="100"/>
            </w:tcMar>
          </w:tcPr>
          <w:p>
            <w:pPr>
              <w:jc w:val="left"/>
            </w:pPr>
            <w:r>
              <w:rPr>
                <w:b w:val="false"/>
                <w:bCs w:val="false"/>
                <w:color w:val="000000"/>
                <w:sz w:val="20"/>
                <w:szCs w:val="20"/>
              </w:rPr>
              <w:t xml:space="preserve">200</w:t>
            </w:r>
          </w:p>
        </w:tc>
      </w:tr>
      <w:tr>
        <w:tc>
          <w:tcPr>
            <w:tcW w:type="dxa" w:w="3200"/>
            <w:tcMar>
              <w:top w:type="dxa" w:w="100"/>
              <w:left w:type="dxa" w:w="100"/>
              <w:bottom w:type="dxa" w:w="100"/>
              <w:right w:type="dxa" w:w="100"/>
            </w:tcMar>
          </w:tcPr>
          <w:p>
            <w:pPr>
              <w:jc w:val="left"/>
            </w:pPr>
            <w:r>
              <w:rPr>
                <w:b/>
                <w:bCs/>
                <w:color w:val="000000"/>
                <w:sz w:val="20"/>
                <w:szCs w:val="20"/>
              </w:rPr>
              <w:t xml:space="preserve">PostgreSQL memory tuning</w:t>
            </w:r>
          </w:p>
        </w:tc>
        <w:tc>
          <w:tcPr>
            <w:tcW w:type="dxa" w:w="6160"/>
            <w:tcMar>
              <w:top w:type="dxa" w:w="100"/>
              <w:left w:type="dxa" w:w="100"/>
              <w:bottom w:type="dxa" w:w="100"/>
              <w:right w:type="dxa" w:w="100"/>
            </w:tcMar>
          </w:tcPr>
          <w:p>
            <w:pPr>
              <w:jc w:val="left"/>
            </w:pPr>
            <w:r>
              <w:rPr>
                <w:b w:val="false"/>
                <w:bCs w:val="false"/>
                <w:color w:val="000000"/>
                <w:sz w:val="20"/>
                <w:szCs w:val="20"/>
              </w:rPr>
              <w:t xml:space="preserve">shared_buffers = 2GB, work_mem = 16MB, effective_cache_size = 4GB</w:t>
            </w:r>
          </w:p>
        </w:tc>
      </w:tr>
      <w:tr>
        <w:tc>
          <w:tcPr>
            <w:tcW w:type="dxa" w:w="3200"/>
            <w:shd w:fill="DCE6F1" w:val="clear"/>
            <w:tcMar>
              <w:top w:type="dxa" w:w="100"/>
              <w:left w:type="dxa" w:w="100"/>
              <w:bottom w:type="dxa" w:w="100"/>
              <w:right w:type="dxa" w:w="100"/>
            </w:tcMar>
          </w:tcPr>
          <w:p>
            <w:pPr>
              <w:jc w:val="left"/>
            </w:pPr>
            <w:r>
              <w:rPr>
                <w:b/>
                <w:bCs/>
                <w:color w:val="000000"/>
                <w:sz w:val="20"/>
                <w:szCs w:val="20"/>
              </w:rPr>
              <w:t xml:space="preserve">WAL / durability tuning</w:t>
            </w:r>
          </w:p>
        </w:tc>
        <w:tc>
          <w:tcPr>
            <w:tcW w:type="dxa" w:w="6160"/>
            <w:shd w:fill="DCE6F1" w:val="clear"/>
            <w:tcMar>
              <w:top w:type="dxa" w:w="100"/>
              <w:left w:type="dxa" w:w="100"/>
              <w:bottom w:type="dxa" w:w="100"/>
              <w:right w:type="dxa" w:w="100"/>
            </w:tcMar>
          </w:tcPr>
          <w:p>
            <w:pPr>
              <w:jc w:val="left"/>
            </w:pPr>
            <w:r>
              <w:rPr>
                <w:b w:val="false"/>
                <w:bCs w:val="false"/>
                <w:color w:val="000000"/>
                <w:sz w:val="20"/>
                <w:szCs w:val="20"/>
              </w:rPr>
              <w:t xml:space="preserve">max_wal_size = 2GB, synchronous_commit = off</w:t>
            </w:r>
          </w:p>
        </w:tc>
      </w:tr>
      <w:tr>
        <w:tc>
          <w:tcPr>
            <w:tcW w:type="dxa" w:w="3200"/>
            <w:tcMar>
              <w:top w:type="dxa" w:w="100"/>
              <w:left w:type="dxa" w:w="100"/>
              <w:bottom w:type="dxa" w:w="100"/>
              <w:right w:type="dxa" w:w="100"/>
            </w:tcMar>
          </w:tcPr>
          <w:p>
            <w:pPr>
              <w:jc w:val="left"/>
            </w:pPr>
            <w:r>
              <w:rPr>
                <w:b/>
                <w:bCs/>
                <w:color w:val="000000"/>
                <w:sz w:val="20"/>
                <w:szCs w:val="20"/>
              </w:rPr>
              <w:t xml:space="preserve">Host resources allocated to Docker</w:t>
            </w:r>
          </w:p>
        </w:tc>
        <w:tc>
          <w:tcPr>
            <w:tcW w:type="dxa" w:w="6160"/>
            <w:tcMar>
              <w:top w:type="dxa" w:w="100"/>
              <w:left w:type="dxa" w:w="100"/>
              <w:bottom w:type="dxa" w:w="100"/>
              <w:right w:type="dxa" w:w="100"/>
            </w:tcMar>
          </w:tcPr>
          <w:p>
            <w:pPr>
              <w:jc w:val="left"/>
            </w:pPr>
            <w:r>
              <w:rPr>
                <w:b w:val="false"/>
                <w:bCs w:val="false"/>
                <w:color w:val="000000"/>
                <w:sz w:val="20"/>
                <w:szCs w:val="20"/>
              </w:rPr>
              <w:t xml:space="preserve">12 vCPUs, 12 GB RAM (of 20 cores / 16 GB available)</w:t>
            </w:r>
          </w:p>
        </w:tc>
      </w:tr>
      <w:tr>
        <w:tc>
          <w:tcPr>
            <w:tcW w:type="dxa" w:w="3200"/>
            <w:shd w:fill="DCE6F1" w:val="clear"/>
            <w:tcMar>
              <w:top w:type="dxa" w:w="100"/>
              <w:left w:type="dxa" w:w="100"/>
              <w:bottom w:type="dxa" w:w="100"/>
              <w:right w:type="dxa" w:w="100"/>
            </w:tcMar>
          </w:tcPr>
          <w:p>
            <w:pPr>
              <w:jc w:val="left"/>
            </w:pPr>
            <w:r>
              <w:rPr>
                <w:b/>
                <w:bCs/>
                <w:color w:val="000000"/>
                <w:sz w:val="20"/>
                <w:szCs w:val="20"/>
              </w:rPr>
              <w:t xml:space="preserve">Benchmark tool</w:t>
            </w:r>
          </w:p>
        </w:tc>
        <w:tc>
          <w:tcPr>
            <w:tcW w:type="dxa" w:w="6160"/>
            <w:shd w:fill="DCE6F1" w:val="clear"/>
            <w:tcMar>
              <w:top w:type="dxa" w:w="100"/>
              <w:left w:type="dxa" w:w="100"/>
              <w:bottom w:type="dxa" w:w="100"/>
              <w:right w:type="dxa" w:w="100"/>
            </w:tcMar>
          </w:tcPr>
          <w:p>
            <w:pPr>
              <w:jc w:val="left"/>
            </w:pPr>
            <w:r>
              <w:rPr>
                <w:b w:val="false"/>
                <w:bCs w:val="false"/>
                <w:color w:val="000000"/>
                <w:sz w:val="20"/>
                <w:szCs w:val="20"/>
              </w:rPr>
              <w:t xml:space="preserve">pgbench (bundled with PostgreSQL 16)</w:t>
            </w:r>
          </w:p>
        </w:tc>
      </w:tr>
      <w:tr>
        <w:tc>
          <w:tcPr>
            <w:tcW w:type="dxa" w:w="3200"/>
            <w:tcMar>
              <w:top w:type="dxa" w:w="100"/>
              <w:left w:type="dxa" w:w="100"/>
              <w:bottom w:type="dxa" w:w="100"/>
              <w:right w:type="dxa" w:w="100"/>
            </w:tcMar>
          </w:tcPr>
          <w:p>
            <w:pPr>
              <w:jc w:val="left"/>
            </w:pPr>
            <w:r>
              <w:rPr>
                <w:b/>
                <w:bCs/>
                <w:color w:val="000000"/>
                <w:sz w:val="20"/>
                <w:szCs w:val="20"/>
              </w:rPr>
              <w:t xml:space="preserve">Workload type</w:t>
            </w:r>
          </w:p>
        </w:tc>
        <w:tc>
          <w:tcPr>
            <w:tcW w:type="dxa" w:w="6160"/>
            <w:tcMar>
              <w:top w:type="dxa" w:w="100"/>
              <w:left w:type="dxa" w:w="100"/>
              <w:bottom w:type="dxa" w:w="100"/>
              <w:right w:type="dxa" w:w="100"/>
            </w:tcMar>
          </w:tcPr>
          <w:p>
            <w:pPr>
              <w:jc w:val="left"/>
            </w:pPr>
            <w:r>
              <w:rPr>
                <w:b w:val="false"/>
                <w:bCs w:val="false"/>
                <w:color w:val="000000"/>
                <w:sz w:val="20"/>
                <w:szCs w:val="20"/>
              </w:rPr>
              <w:t xml:space="preserve">Built-in TPC-B-like transaction (read + write mix)</w:t>
            </w:r>
          </w:p>
        </w:tc>
      </w:tr>
      <w:tr>
        <w:tc>
          <w:tcPr>
            <w:tcW w:type="dxa" w:w="3200"/>
            <w:shd w:fill="DCE6F1" w:val="clear"/>
            <w:tcMar>
              <w:top w:type="dxa" w:w="100"/>
              <w:left w:type="dxa" w:w="100"/>
              <w:bottom w:type="dxa" w:w="100"/>
              <w:right w:type="dxa" w:w="100"/>
            </w:tcMar>
          </w:tcPr>
          <w:p>
            <w:pPr>
              <w:jc w:val="left"/>
            </w:pPr>
            <w:r>
              <w:rPr>
                <w:b/>
                <w:bCs/>
                <w:color w:val="000000"/>
                <w:sz w:val="20"/>
                <w:szCs w:val="20"/>
              </w:rPr>
              <w:t xml:space="preserve">Scaling factor</w:t>
            </w:r>
          </w:p>
        </w:tc>
        <w:tc>
          <w:tcPr>
            <w:tcW w:type="dxa" w:w="6160"/>
            <w:shd w:fill="DCE6F1" w:val="clear"/>
            <w:tcMar>
              <w:top w:type="dxa" w:w="100"/>
              <w:left w:type="dxa" w:w="100"/>
              <w:bottom w:type="dxa" w:w="100"/>
              <w:right w:type="dxa" w:w="100"/>
            </w:tcMar>
          </w:tcPr>
          <w:p>
            <w:pPr>
              <w:jc w:val="left"/>
            </w:pPr>
            <w:r>
              <w:rPr>
                <w:b w:val="false"/>
                <w:bCs w:val="false"/>
                <w:color w:val="000000"/>
                <w:sz w:val="20"/>
                <w:szCs w:val="20"/>
              </w:rPr>
              <w:t xml:space="preserve">100 (~10,000,000 rows in the pgbench_accounts table)</w:t>
            </w:r>
          </w:p>
        </w:tc>
      </w:tr>
      <w:tr>
        <w:tc>
          <w:tcPr>
            <w:tcW w:type="dxa" w:w="3200"/>
            <w:tcMar>
              <w:top w:type="dxa" w:w="100"/>
              <w:left w:type="dxa" w:w="100"/>
              <w:bottom w:type="dxa" w:w="100"/>
              <w:right w:type="dxa" w:w="100"/>
            </w:tcMar>
          </w:tcPr>
          <w:p>
            <w:pPr>
              <w:jc w:val="left"/>
            </w:pPr>
            <w:r>
              <w:rPr>
                <w:b/>
                <w:bCs/>
                <w:color w:val="000000"/>
                <w:sz w:val="20"/>
                <w:szCs w:val="20"/>
              </w:rPr>
              <w:t xml:space="preserve">Test duration per run</w:t>
            </w:r>
          </w:p>
        </w:tc>
        <w:tc>
          <w:tcPr>
            <w:tcW w:type="dxa" w:w="6160"/>
            <w:tcMar>
              <w:top w:type="dxa" w:w="100"/>
              <w:left w:type="dxa" w:w="100"/>
              <w:bottom w:type="dxa" w:w="100"/>
              <w:right w:type="dxa" w:w="100"/>
            </w:tcMar>
          </w:tcPr>
          <w:p>
            <w:pPr>
              <w:jc w:val="left"/>
            </w:pPr>
            <w:r>
              <w:rPr>
                <w:b w:val="false"/>
                <w:bCs w:val="false"/>
                <w:color w:val="000000"/>
                <w:sz w:val="20"/>
                <w:szCs w:val="20"/>
              </w:rPr>
              <w:t xml:space="preserve">30 seconds</w:t>
            </w:r>
          </w:p>
        </w:tc>
      </w:tr>
      <w:tr>
        <w:tc>
          <w:tcPr>
            <w:tcW w:type="dxa" w:w="3200"/>
            <w:shd w:fill="DCE6F1" w:val="clear"/>
            <w:tcMar>
              <w:top w:type="dxa" w:w="100"/>
              <w:left w:type="dxa" w:w="100"/>
              <w:bottom w:type="dxa" w:w="100"/>
              <w:right w:type="dxa" w:w="100"/>
            </w:tcMar>
          </w:tcPr>
          <w:p>
            <w:pPr>
              <w:jc w:val="left"/>
            </w:pPr>
            <w:r>
              <w:rPr>
                <w:b/>
                <w:bCs/>
                <w:color w:val="000000"/>
                <w:sz w:val="20"/>
                <w:szCs w:val="20"/>
              </w:rPr>
              <w:t xml:space="preserve">Access path under test</w:t>
            </w:r>
          </w:p>
        </w:tc>
        <w:tc>
          <w:tcPr>
            <w:tcW w:type="dxa" w:w="6160"/>
            <w:shd w:fill="DCE6F1" w:val="clear"/>
            <w:tcMar>
              <w:top w:type="dxa" w:w="100"/>
              <w:left w:type="dxa" w:w="100"/>
              <w:bottom w:type="dxa" w:w="100"/>
              <w:right w:type="dxa" w:w="100"/>
            </w:tcMar>
          </w:tcPr>
          <w:p>
            <w:pPr>
              <w:jc w:val="left"/>
            </w:pPr>
            <w:r>
              <w:rPr>
                <w:b w:val="false"/>
                <w:bCs w:val="false"/>
                <w:color w:val="000000"/>
                <w:sz w:val="20"/>
                <w:szCs w:val="20"/>
              </w:rPr>
              <w:t xml:space="preserve">Client → PgBouncer (port 6432) → PostgreSQL — API layer excluded</w:t>
            </w:r>
          </w:p>
        </w:tc>
      </w:tr>
    </w:tbl>
    <w:p>
      <w:pPr>
        <w:spacing w:after="240"/>
      </w:pPr>
    </w:p>
    <w:p>
      <w:pPr>
        <w:pStyle w:val="Heading1"/>
        <w:spacing w:after="160" w:before="320"/>
      </w:pPr>
      <w:r>
        <w:t xml:space="preserve">3. Methodology</w:t>
      </w:r>
    </w:p>
    <w:p>
      <w:pPr>
        <w:pStyle w:val="ListParagraph"/>
        <w:numPr>
          <w:ilvl w:val="0"/>
          <w:numId w:val="1"/>
        </w:numPr>
        <w:spacing w:after="80"/>
      </w:pPr>
      <w:r>
        <w:t xml:space="preserve">A dedicated test database (pgbench_test) was created, separate from the project's application database (steam_games), to avoid polluting real application data.</w:t>
      </w:r>
    </w:p>
    <w:p>
      <w:pPr>
        <w:pStyle w:val="ListParagraph"/>
        <w:numPr>
          <w:ilvl w:val="0"/>
          <w:numId w:val="1"/>
        </w:numPr>
        <w:spacing w:after="80"/>
      </w:pPr>
      <w:r>
        <w:t xml:space="preserve">The database was initialized with pgbench's built-in schema at scale factor 100, producing roughly 10 million rows in the accounts table — large enough that concurrent clients update different rows rather than contending for a single one, which would otherwise create an artificial bottleneck unrelated to real-world usage.</w:t>
      </w:r>
    </w:p>
    <w:p>
      <w:pPr>
        <w:pStyle w:val="ListParagraph"/>
        <w:numPr>
          <w:ilvl w:val="0"/>
          <w:numId w:val="1"/>
        </w:numPr>
        <w:spacing w:after="80"/>
      </w:pPr>
      <w:r>
        <w:t xml:space="preserve">Each test connects directly to PgBouncer on port 6432 (not to PostgreSQL's own port), reflecting how the backend application connects in production.</w:t>
      </w:r>
    </w:p>
    <w:p>
      <w:pPr>
        <w:pStyle w:val="ListParagraph"/>
        <w:numPr>
          <w:ilvl w:val="0"/>
          <w:numId w:val="1"/>
        </w:numPr>
        <w:spacing w:after="80"/>
      </w:pPr>
      <w:r>
        <w:t xml:space="preserve">Five tests were run consecutively, increasing the number of concurrent clients (50 → 200 → 500 → 1,000 → 2,000), each for a fixed duration of 30 seconds.</w:t>
      </w:r>
    </w:p>
    <w:p>
      <w:pPr>
        <w:pStyle w:val="ListParagraph"/>
        <w:numPr>
          <w:ilvl w:val="0"/>
          <w:numId w:val="1"/>
        </w:numPr>
        <w:spacing w:after="80"/>
      </w:pPr>
      <w:r>
        <w:t xml:space="preserve">Metrics captured for each run: total transactions processed, failed transactions, average latency, and throughput (transactions per second).</w:t>
      </w:r>
    </w:p>
    <w:p>
      <w:pPr>
        <w:pStyle w:val="Heading1"/>
        <w:spacing w:after="160" w:before="320"/>
      </w:pPr>
      <w: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500"/>
        <w:gridCol w:w="1900"/>
        <w:gridCol w:w="1900"/>
        <w:gridCol w:w="960"/>
      </w:tblGrid>
      <w:tr>
        <w:trPr>
          <w:tblHeader/>
        </w:trPr>
        <w:tc>
          <w:tcPr>
            <w:tcW w:type="dxa" w:w="1500"/>
            <w:shd w:fill="1F3864" w:val="clear"/>
            <w:tcMar>
              <w:top w:type="dxa" w:w="100"/>
              <w:left w:type="dxa" w:w="100"/>
              <w:bottom w:type="dxa" w:w="100"/>
              <w:right w:type="dxa" w:w="100"/>
            </w:tcMar>
          </w:tcPr>
          <w:p>
            <w:pPr>
              <w:jc w:val="center"/>
            </w:pPr>
            <w:r>
              <w:rPr>
                <w:b/>
                <w:bCs/>
                <w:color w:val="FFFFFF"/>
                <w:sz w:val="20"/>
                <w:szCs w:val="20"/>
              </w:rPr>
              <w:t xml:space="preserve">Test #</w:t>
            </w:r>
          </w:p>
        </w:tc>
        <w:tc>
          <w:tcPr>
            <w:tcW w:type="dxa" w:w="1600"/>
            <w:shd w:fill="1F3864" w:val="clear"/>
            <w:tcMar>
              <w:top w:type="dxa" w:w="100"/>
              <w:left w:type="dxa" w:w="100"/>
              <w:bottom w:type="dxa" w:w="100"/>
              <w:right w:type="dxa" w:w="100"/>
            </w:tcMar>
          </w:tcPr>
          <w:p>
            <w:pPr>
              <w:jc w:val="center"/>
            </w:pPr>
            <w:r>
              <w:rPr>
                <w:b/>
                <w:bCs/>
                <w:color w:val="FFFFFF"/>
                <w:sz w:val="20"/>
                <w:szCs w:val="20"/>
              </w:rPr>
              <w:t xml:space="preserve">Concurrent Clients</w:t>
            </w:r>
          </w:p>
        </w:tc>
        <w:tc>
          <w:tcPr>
            <w:tcW w:type="dxa" w:w="1500"/>
            <w:shd w:fill="1F3864" w:val="clear"/>
            <w:tcMar>
              <w:top w:type="dxa" w:w="100"/>
              <w:left w:type="dxa" w:w="100"/>
              <w:bottom w:type="dxa" w:w="100"/>
              <w:right w:type="dxa" w:w="100"/>
            </w:tcMar>
          </w:tcPr>
          <w:p>
            <w:pPr>
              <w:jc w:val="center"/>
            </w:pPr>
            <w:r>
              <w:rPr>
                <w:b/>
                <w:bCs/>
                <w:color w:val="FFFFFF"/>
                <w:sz w:val="20"/>
                <w:szCs w:val="20"/>
              </w:rPr>
              <w:t xml:space="preserve">Transactions
Processed</w:t>
            </w:r>
          </w:p>
        </w:tc>
        <w:tc>
          <w:tcPr>
            <w:tcW w:type="dxa" w:w="1900"/>
            <w:shd w:fill="1F3864" w:val="clear"/>
            <w:tcMar>
              <w:top w:type="dxa" w:w="100"/>
              <w:left w:type="dxa" w:w="100"/>
              <w:bottom w:type="dxa" w:w="100"/>
              <w:right w:type="dxa" w:w="100"/>
            </w:tcMar>
          </w:tcPr>
          <w:p>
            <w:pPr>
              <w:jc w:val="center"/>
            </w:pPr>
            <w:r>
              <w:rPr>
                <w:b/>
                <w:bCs/>
                <w:color w:val="FFFFFF"/>
                <w:sz w:val="20"/>
                <w:szCs w:val="20"/>
              </w:rPr>
              <w:t xml:space="preserve">Avg. Latency
(ms)</w:t>
            </w:r>
          </w:p>
        </w:tc>
        <w:tc>
          <w:tcPr>
            <w:tcW w:type="dxa" w:w="1900"/>
            <w:shd w:fill="1F3864" w:val="clear"/>
            <w:tcMar>
              <w:top w:type="dxa" w:w="100"/>
              <w:left w:type="dxa" w:w="100"/>
              <w:bottom w:type="dxa" w:w="100"/>
              <w:right w:type="dxa" w:w="100"/>
            </w:tcMar>
          </w:tcPr>
          <w:p>
            <w:pPr>
              <w:jc w:val="center"/>
            </w:pPr>
            <w:r>
              <w:rPr>
                <w:b/>
                <w:bCs/>
                <w:color w:val="FFFFFF"/>
                <w:sz w:val="20"/>
                <w:szCs w:val="20"/>
              </w:rPr>
              <w:t xml:space="preserve">Throughput
(TPS)</w:t>
            </w:r>
          </w:p>
        </w:tc>
        <w:tc>
          <w:tcPr>
            <w:tcW w:type="dxa" w:w="960"/>
            <w:shd w:fill="1F3864" w:val="clear"/>
            <w:tcMar>
              <w:top w:type="dxa" w:w="100"/>
              <w:left w:type="dxa" w:w="100"/>
              <w:bottom w:type="dxa" w:w="100"/>
              <w:right w:type="dxa" w:w="100"/>
            </w:tcMar>
          </w:tcPr>
          <w:p>
            <w:pPr>
              <w:jc w:val="center"/>
            </w:pPr>
            <w:r>
              <w:rPr>
                <w:b/>
                <w:bCs/>
                <w:color w:val="FFFFFF"/>
                <w:sz w:val="20"/>
                <w:szCs w:val="20"/>
              </w:rPr>
              <w:t xml:space="preserve">Failed</w:t>
            </w:r>
          </w:p>
        </w:tc>
      </w:tr>
      <w:tr>
        <w:tc>
          <w:tcPr>
            <w:tcW w:type="dxa" w:w="1500"/>
            <w:tcMar>
              <w:top w:type="dxa" w:w="100"/>
              <w:left w:type="dxa" w:w="100"/>
              <w:bottom w:type="dxa" w:w="100"/>
              <w:right w:type="dxa" w:w="100"/>
            </w:tcMar>
          </w:tcPr>
          <w:p>
            <w:pPr>
              <w:jc w:val="center"/>
            </w:pPr>
            <w:r>
              <w:rPr>
                <w:b w:val="false"/>
                <w:bCs w:val="false"/>
                <w:color w:val="000000"/>
                <w:sz w:val="20"/>
                <w:szCs w:val="20"/>
              </w:rPr>
              <w:t xml:space="preserve">1</w:t>
            </w:r>
          </w:p>
        </w:tc>
        <w:tc>
          <w:tcPr>
            <w:tcW w:type="dxa" w:w="1600"/>
            <w:tcMar>
              <w:top w:type="dxa" w:w="100"/>
              <w:left w:type="dxa" w:w="100"/>
              <w:bottom w:type="dxa" w:w="100"/>
              <w:right w:type="dxa" w:w="100"/>
            </w:tcMar>
          </w:tcPr>
          <w:p>
            <w:pPr>
              <w:jc w:val="center"/>
            </w:pPr>
            <w:r>
              <w:rPr>
                <w:b w:val="false"/>
                <w:bCs w:val="false"/>
                <w:color w:val="000000"/>
                <w:sz w:val="20"/>
                <w:szCs w:val="20"/>
              </w:rPr>
              <w:t xml:space="preserve">50</w:t>
            </w:r>
          </w:p>
        </w:tc>
        <w:tc>
          <w:tcPr>
            <w:tcW w:type="dxa" w:w="1500"/>
            <w:tcMar>
              <w:top w:type="dxa" w:w="100"/>
              <w:left w:type="dxa" w:w="100"/>
              <w:bottom w:type="dxa" w:w="100"/>
              <w:right w:type="dxa" w:w="100"/>
            </w:tcMar>
          </w:tcPr>
          <w:p>
            <w:pPr>
              <w:jc w:val="center"/>
            </w:pPr>
            <w:r>
              <w:rPr>
                <w:b w:val="false"/>
                <w:bCs w:val="false"/>
                <w:color w:val="000000"/>
                <w:sz w:val="20"/>
                <w:szCs w:val="20"/>
              </w:rPr>
              <w:t xml:space="preserve">169,577</w:t>
            </w:r>
          </w:p>
        </w:tc>
        <w:tc>
          <w:tcPr>
            <w:tcW w:type="dxa" w:w="1900"/>
            <w:tcMar>
              <w:top w:type="dxa" w:w="100"/>
              <w:left w:type="dxa" w:w="100"/>
              <w:bottom w:type="dxa" w:w="100"/>
              <w:right w:type="dxa" w:w="100"/>
            </w:tcMar>
          </w:tcPr>
          <w:p>
            <w:pPr>
              <w:jc w:val="center"/>
            </w:pPr>
            <w:r>
              <w:rPr>
                <w:b w:val="false"/>
                <w:bCs w:val="false"/>
                <w:color w:val="000000"/>
                <w:sz w:val="20"/>
                <w:szCs w:val="20"/>
              </w:rPr>
              <w:t xml:space="preserve">8.8</w:t>
            </w:r>
          </w:p>
        </w:tc>
        <w:tc>
          <w:tcPr>
            <w:tcW w:type="dxa" w:w="1900"/>
            <w:tcMar>
              <w:top w:type="dxa" w:w="100"/>
              <w:left w:type="dxa" w:w="100"/>
              <w:bottom w:type="dxa" w:w="100"/>
              <w:right w:type="dxa" w:w="100"/>
            </w:tcMar>
          </w:tcPr>
          <w:p>
            <w:pPr>
              <w:jc w:val="center"/>
            </w:pPr>
            <w:r>
              <w:rPr>
                <w:b w:val="false"/>
                <w:bCs w:val="false"/>
                <w:color w:val="000000"/>
                <w:sz w:val="20"/>
                <w:szCs w:val="20"/>
              </w:rPr>
              <w:t xml:space="preserve">5681.8</w:t>
            </w:r>
          </w:p>
        </w:tc>
        <w:tc>
          <w:tcPr>
            <w:tcW w:type="dxa" w:w="960"/>
            <w:tcMar>
              <w:top w:type="dxa" w:w="100"/>
              <w:left w:type="dxa" w:w="100"/>
              <w:bottom w:type="dxa" w:w="100"/>
              <w:right w:type="dxa" w:w="100"/>
            </w:tcMar>
          </w:tcPr>
          <w:p>
            <w:pPr>
              <w:jc w:val="center"/>
            </w:pPr>
            <w:r>
              <w:rPr>
                <w:b/>
                <w:bCs/>
                <w:color w:val="000000"/>
                <w:sz w:val="20"/>
                <w:szCs w:val="20"/>
              </w:rPr>
              <w:t xml:space="preserve">0</w:t>
            </w:r>
          </w:p>
        </w:tc>
      </w:tr>
      <w:tr>
        <w:tc>
          <w:tcPr>
            <w:tcW w:type="dxa" w:w="1500"/>
            <w:shd w:fill="DCE6F1" w:val="clear"/>
            <w:tcMar>
              <w:top w:type="dxa" w:w="100"/>
              <w:left w:type="dxa" w:w="100"/>
              <w:bottom w:type="dxa" w:w="100"/>
              <w:right w:type="dxa" w:w="100"/>
            </w:tcMar>
          </w:tcPr>
          <w:p>
            <w:pPr>
              <w:jc w:val="center"/>
            </w:pPr>
            <w:r>
              <w:rPr>
                <w:b w:val="false"/>
                <w:bCs w:val="false"/>
                <w:color w:val="000000"/>
                <w:sz w:val="20"/>
                <w:szCs w:val="20"/>
              </w:rPr>
              <w:t xml:space="preserve">2</w:t>
            </w:r>
          </w:p>
        </w:tc>
        <w:tc>
          <w:tcPr>
            <w:tcW w:type="dxa" w:w="1600"/>
            <w:shd w:fill="DCE6F1" w:val="clear"/>
            <w:tcMar>
              <w:top w:type="dxa" w:w="100"/>
              <w:left w:type="dxa" w:w="100"/>
              <w:bottom w:type="dxa" w:w="100"/>
              <w:right w:type="dxa" w:w="100"/>
            </w:tcMar>
          </w:tcPr>
          <w:p>
            <w:pPr>
              <w:jc w:val="center"/>
            </w:pPr>
            <w:r>
              <w:rPr>
                <w:b w:val="false"/>
                <w:bCs w:val="false"/>
                <w:color w:val="000000"/>
                <w:sz w:val="20"/>
                <w:szCs w:val="20"/>
              </w:rPr>
              <w:t xml:space="preserve">200</w:t>
            </w:r>
          </w:p>
        </w:tc>
        <w:tc>
          <w:tcPr>
            <w:tcW w:type="dxa" w:w="1500"/>
            <w:shd w:fill="DCE6F1" w:val="clear"/>
            <w:tcMar>
              <w:top w:type="dxa" w:w="100"/>
              <w:left w:type="dxa" w:w="100"/>
              <w:bottom w:type="dxa" w:w="100"/>
              <w:right w:type="dxa" w:w="100"/>
            </w:tcMar>
          </w:tcPr>
          <w:p>
            <w:pPr>
              <w:jc w:val="center"/>
            </w:pPr>
            <w:r>
              <w:rPr>
                <w:b w:val="false"/>
                <w:bCs w:val="false"/>
                <w:color w:val="000000"/>
                <w:sz w:val="20"/>
                <w:szCs w:val="20"/>
              </w:rPr>
              <w:t xml:space="preserve">170,004</w:t>
            </w:r>
          </w:p>
        </w:tc>
        <w:tc>
          <w:tcPr>
            <w:tcW w:type="dxa" w:w="1900"/>
            <w:shd w:fill="DCE6F1" w:val="clear"/>
            <w:tcMar>
              <w:top w:type="dxa" w:w="100"/>
              <w:left w:type="dxa" w:w="100"/>
              <w:bottom w:type="dxa" w:w="100"/>
              <w:right w:type="dxa" w:w="100"/>
            </w:tcMar>
          </w:tcPr>
          <w:p>
            <w:pPr>
              <w:jc w:val="center"/>
            </w:pPr>
            <w:r>
              <w:rPr>
                <w:b w:val="false"/>
                <w:bCs w:val="false"/>
                <w:color w:val="000000"/>
                <w:sz w:val="20"/>
                <w:szCs w:val="20"/>
              </w:rPr>
              <w:t xml:space="preserve">34.5</w:t>
            </w:r>
          </w:p>
        </w:tc>
        <w:tc>
          <w:tcPr>
            <w:tcW w:type="dxa" w:w="1900"/>
            <w:shd w:fill="DCE6F1" w:val="clear"/>
            <w:tcMar>
              <w:top w:type="dxa" w:w="100"/>
              <w:left w:type="dxa" w:w="100"/>
              <w:bottom w:type="dxa" w:w="100"/>
              <w:right w:type="dxa" w:w="100"/>
            </w:tcMar>
          </w:tcPr>
          <w:p>
            <w:pPr>
              <w:jc w:val="center"/>
            </w:pPr>
            <w:r>
              <w:rPr>
                <w:b w:val="false"/>
                <w:bCs w:val="false"/>
                <w:color w:val="000000"/>
                <w:sz w:val="20"/>
                <w:szCs w:val="20"/>
              </w:rPr>
              <w:t xml:space="preserve">5788.8</w:t>
            </w:r>
          </w:p>
        </w:tc>
        <w:tc>
          <w:tcPr>
            <w:tcW w:type="dxa" w:w="960"/>
            <w:shd w:fill="DCE6F1" w:val="clear"/>
            <w:tcMar>
              <w:top w:type="dxa" w:w="100"/>
              <w:left w:type="dxa" w:w="100"/>
              <w:bottom w:type="dxa" w:w="100"/>
              <w:right w:type="dxa" w:w="100"/>
            </w:tcMar>
          </w:tcPr>
          <w:p>
            <w:pPr>
              <w:jc w:val="center"/>
            </w:pPr>
            <w:r>
              <w:rPr>
                <w:b/>
                <w:bCs/>
                <w:color w:val="000000"/>
                <w:sz w:val="20"/>
                <w:szCs w:val="20"/>
              </w:rPr>
              <w:t xml:space="preserve">0</w:t>
            </w:r>
          </w:p>
        </w:tc>
      </w:tr>
      <w:tr>
        <w:tc>
          <w:tcPr>
            <w:tcW w:type="dxa" w:w="1500"/>
            <w:tcMar>
              <w:top w:type="dxa" w:w="100"/>
              <w:left w:type="dxa" w:w="100"/>
              <w:bottom w:type="dxa" w:w="100"/>
              <w:right w:type="dxa" w:w="100"/>
            </w:tcMar>
          </w:tcPr>
          <w:p>
            <w:pPr>
              <w:jc w:val="center"/>
            </w:pPr>
            <w:r>
              <w:rPr>
                <w:b w:val="false"/>
                <w:bCs w:val="false"/>
                <w:color w:val="000000"/>
                <w:sz w:val="20"/>
                <w:szCs w:val="20"/>
              </w:rPr>
              <w:t xml:space="preserve">3</w:t>
            </w:r>
          </w:p>
        </w:tc>
        <w:tc>
          <w:tcPr>
            <w:tcW w:type="dxa" w:w="1600"/>
            <w:tcMar>
              <w:top w:type="dxa" w:w="100"/>
              <w:left w:type="dxa" w:w="100"/>
              <w:bottom w:type="dxa" w:w="100"/>
              <w:right w:type="dxa" w:w="100"/>
            </w:tcMar>
          </w:tcPr>
          <w:p>
            <w:pPr>
              <w:jc w:val="center"/>
            </w:pPr>
            <w:r>
              <w:rPr>
                <w:b w:val="false"/>
                <w:bCs w:val="false"/>
                <w:color w:val="000000"/>
                <w:sz w:val="20"/>
                <w:szCs w:val="20"/>
              </w:rPr>
              <w:t xml:space="preserve">500</w:t>
            </w:r>
          </w:p>
        </w:tc>
        <w:tc>
          <w:tcPr>
            <w:tcW w:type="dxa" w:w="1500"/>
            <w:tcMar>
              <w:top w:type="dxa" w:w="100"/>
              <w:left w:type="dxa" w:w="100"/>
              <w:bottom w:type="dxa" w:w="100"/>
              <w:right w:type="dxa" w:w="100"/>
            </w:tcMar>
          </w:tcPr>
          <w:p>
            <w:pPr>
              <w:jc w:val="center"/>
            </w:pPr>
            <w:r>
              <w:rPr>
                <w:b w:val="false"/>
                <w:bCs w:val="false"/>
                <w:color w:val="000000"/>
                <w:sz w:val="20"/>
                <w:szCs w:val="20"/>
              </w:rPr>
              <w:t xml:space="preserve">163,512</w:t>
            </w:r>
          </w:p>
        </w:tc>
        <w:tc>
          <w:tcPr>
            <w:tcW w:type="dxa" w:w="1900"/>
            <w:tcMar>
              <w:top w:type="dxa" w:w="100"/>
              <w:left w:type="dxa" w:w="100"/>
              <w:bottom w:type="dxa" w:w="100"/>
              <w:right w:type="dxa" w:w="100"/>
            </w:tcMar>
          </w:tcPr>
          <w:p>
            <w:pPr>
              <w:jc w:val="center"/>
            </w:pPr>
            <w:r>
              <w:rPr>
                <w:b w:val="false"/>
                <w:bCs w:val="false"/>
                <w:color w:val="000000"/>
                <w:sz w:val="20"/>
                <w:szCs w:val="20"/>
              </w:rPr>
              <w:t xml:space="preserve">86.7</w:t>
            </w:r>
          </w:p>
        </w:tc>
        <w:tc>
          <w:tcPr>
            <w:tcW w:type="dxa" w:w="1900"/>
            <w:tcMar>
              <w:top w:type="dxa" w:w="100"/>
              <w:left w:type="dxa" w:w="100"/>
              <w:bottom w:type="dxa" w:w="100"/>
              <w:right w:type="dxa" w:w="100"/>
            </w:tcMar>
          </w:tcPr>
          <w:p>
            <w:pPr>
              <w:jc w:val="center"/>
            </w:pPr>
            <w:r>
              <w:rPr>
                <w:b w:val="false"/>
                <w:bCs w:val="false"/>
                <w:color w:val="000000"/>
                <w:sz w:val="20"/>
                <w:szCs w:val="20"/>
              </w:rPr>
              <w:t xml:space="preserve">5765.0</w:t>
            </w:r>
          </w:p>
        </w:tc>
        <w:tc>
          <w:tcPr>
            <w:tcW w:type="dxa" w:w="960"/>
            <w:tcMar>
              <w:top w:type="dxa" w:w="100"/>
              <w:left w:type="dxa" w:w="100"/>
              <w:bottom w:type="dxa" w:w="100"/>
              <w:right w:type="dxa" w:w="100"/>
            </w:tcMar>
          </w:tcPr>
          <w:p>
            <w:pPr>
              <w:jc w:val="center"/>
            </w:pPr>
            <w:r>
              <w:rPr>
                <w:b/>
                <w:bCs/>
                <w:color w:val="000000"/>
                <w:sz w:val="20"/>
                <w:szCs w:val="20"/>
              </w:rPr>
              <w:t xml:space="preserve">0</w:t>
            </w:r>
          </w:p>
        </w:tc>
      </w:tr>
      <w:tr>
        <w:tc>
          <w:tcPr>
            <w:tcW w:type="dxa" w:w="1500"/>
            <w:shd w:fill="DCE6F1" w:val="clear"/>
            <w:tcMar>
              <w:top w:type="dxa" w:w="100"/>
              <w:left w:type="dxa" w:w="100"/>
              <w:bottom w:type="dxa" w:w="100"/>
              <w:right w:type="dxa" w:w="100"/>
            </w:tcMar>
          </w:tcPr>
          <w:p>
            <w:pPr>
              <w:jc w:val="center"/>
            </w:pPr>
            <w:r>
              <w:rPr>
                <w:b w:val="false"/>
                <w:bCs w:val="false"/>
                <w:color w:val="000000"/>
                <w:sz w:val="20"/>
                <w:szCs w:val="20"/>
              </w:rPr>
              <w:t xml:space="preserve">4</w:t>
            </w:r>
          </w:p>
        </w:tc>
        <w:tc>
          <w:tcPr>
            <w:tcW w:type="dxa" w:w="1600"/>
            <w:shd w:fill="DCE6F1" w:val="clear"/>
            <w:tcMar>
              <w:top w:type="dxa" w:w="100"/>
              <w:left w:type="dxa" w:w="100"/>
              <w:bottom w:type="dxa" w:w="100"/>
              <w:right w:type="dxa" w:w="100"/>
            </w:tcMar>
          </w:tcPr>
          <w:p>
            <w:pPr>
              <w:jc w:val="center"/>
            </w:pPr>
            <w:r>
              <w:rPr>
                <w:b w:val="false"/>
                <w:bCs w:val="false"/>
                <w:color w:val="000000"/>
                <w:sz w:val="20"/>
                <w:szCs w:val="20"/>
              </w:rPr>
              <w:t xml:space="preserve">1,000</w:t>
            </w:r>
          </w:p>
        </w:tc>
        <w:tc>
          <w:tcPr>
            <w:tcW w:type="dxa" w:w="1500"/>
            <w:shd w:fill="DCE6F1" w:val="clear"/>
            <w:tcMar>
              <w:top w:type="dxa" w:w="100"/>
              <w:left w:type="dxa" w:w="100"/>
              <w:bottom w:type="dxa" w:w="100"/>
              <w:right w:type="dxa" w:w="100"/>
            </w:tcMar>
          </w:tcPr>
          <w:p>
            <w:pPr>
              <w:jc w:val="center"/>
            </w:pPr>
            <w:r>
              <w:rPr>
                <w:b w:val="false"/>
                <w:bCs w:val="false"/>
                <w:color w:val="000000"/>
                <w:sz w:val="20"/>
                <w:szCs w:val="20"/>
              </w:rPr>
              <w:t xml:space="preserve">146,041</w:t>
            </w:r>
          </w:p>
        </w:tc>
        <w:tc>
          <w:tcPr>
            <w:tcW w:type="dxa" w:w="1900"/>
            <w:shd w:fill="DCE6F1" w:val="clear"/>
            <w:tcMar>
              <w:top w:type="dxa" w:w="100"/>
              <w:left w:type="dxa" w:w="100"/>
              <w:bottom w:type="dxa" w:w="100"/>
              <w:right w:type="dxa" w:w="100"/>
            </w:tcMar>
          </w:tcPr>
          <w:p>
            <w:pPr>
              <w:jc w:val="center"/>
            </w:pPr>
            <w:r>
              <w:rPr>
                <w:b w:val="false"/>
                <w:bCs w:val="false"/>
                <w:color w:val="000000"/>
                <w:sz w:val="20"/>
                <w:szCs w:val="20"/>
              </w:rPr>
              <w:t xml:space="preserve">176.9</w:t>
            </w:r>
          </w:p>
        </w:tc>
        <w:tc>
          <w:tcPr>
            <w:tcW w:type="dxa" w:w="1900"/>
            <w:shd w:fill="DCE6F1" w:val="clear"/>
            <w:tcMar>
              <w:top w:type="dxa" w:w="100"/>
              <w:left w:type="dxa" w:w="100"/>
              <w:bottom w:type="dxa" w:w="100"/>
              <w:right w:type="dxa" w:w="100"/>
            </w:tcMar>
          </w:tcPr>
          <w:p>
            <w:pPr>
              <w:jc w:val="center"/>
            </w:pPr>
            <w:r>
              <w:rPr>
                <w:b w:val="false"/>
                <w:bCs w:val="false"/>
                <w:color w:val="000000"/>
                <w:sz w:val="20"/>
                <w:szCs w:val="20"/>
              </w:rPr>
              <w:t xml:space="preserve">5652.6</w:t>
            </w:r>
          </w:p>
        </w:tc>
        <w:tc>
          <w:tcPr>
            <w:tcW w:type="dxa" w:w="960"/>
            <w:shd w:fill="DCE6F1" w:val="clear"/>
            <w:tcMar>
              <w:top w:type="dxa" w:w="100"/>
              <w:left w:type="dxa" w:w="100"/>
              <w:bottom w:type="dxa" w:w="100"/>
              <w:right w:type="dxa" w:w="100"/>
            </w:tcMar>
          </w:tcPr>
          <w:p>
            <w:pPr>
              <w:jc w:val="center"/>
            </w:pPr>
            <w:r>
              <w:rPr>
                <w:b/>
                <w:bCs/>
                <w:color w:val="000000"/>
                <w:sz w:val="20"/>
                <w:szCs w:val="20"/>
              </w:rPr>
              <w:t xml:space="preserve">0</w:t>
            </w:r>
          </w:p>
        </w:tc>
      </w:tr>
      <w:tr>
        <w:tc>
          <w:tcPr>
            <w:tcW w:type="dxa" w:w="1500"/>
            <w:tcMar>
              <w:top w:type="dxa" w:w="100"/>
              <w:left w:type="dxa" w:w="100"/>
              <w:bottom w:type="dxa" w:w="100"/>
              <w:right w:type="dxa" w:w="100"/>
            </w:tcMar>
          </w:tcPr>
          <w:p>
            <w:pPr>
              <w:jc w:val="center"/>
            </w:pPr>
            <w:r>
              <w:rPr>
                <w:b w:val="false"/>
                <w:bCs w:val="false"/>
                <w:color w:val="000000"/>
                <w:sz w:val="20"/>
                <w:szCs w:val="20"/>
              </w:rPr>
              <w:t xml:space="preserve">5</w:t>
            </w:r>
          </w:p>
        </w:tc>
        <w:tc>
          <w:tcPr>
            <w:tcW w:type="dxa" w:w="1600"/>
            <w:tcMar>
              <w:top w:type="dxa" w:w="100"/>
              <w:left w:type="dxa" w:w="100"/>
              <w:bottom w:type="dxa" w:w="100"/>
              <w:right w:type="dxa" w:w="100"/>
            </w:tcMar>
          </w:tcPr>
          <w:p>
            <w:pPr>
              <w:jc w:val="center"/>
            </w:pPr>
            <w:r>
              <w:rPr>
                <w:b w:val="false"/>
                <w:bCs w:val="false"/>
                <w:color w:val="000000"/>
                <w:sz w:val="20"/>
                <w:szCs w:val="20"/>
              </w:rPr>
              <w:t xml:space="preserve">2,000</w:t>
            </w:r>
          </w:p>
        </w:tc>
        <w:tc>
          <w:tcPr>
            <w:tcW w:type="dxa" w:w="1500"/>
            <w:tcMar>
              <w:top w:type="dxa" w:w="100"/>
              <w:left w:type="dxa" w:w="100"/>
              <w:bottom w:type="dxa" w:w="100"/>
              <w:right w:type="dxa" w:w="100"/>
            </w:tcMar>
          </w:tcPr>
          <w:p>
            <w:pPr>
              <w:jc w:val="center"/>
            </w:pPr>
            <w:r>
              <w:rPr>
                <w:b w:val="false"/>
                <w:bCs w:val="false"/>
                <w:color w:val="000000"/>
                <w:sz w:val="20"/>
                <w:szCs w:val="20"/>
              </w:rPr>
              <w:t xml:space="preserve">122,627</w:t>
            </w:r>
          </w:p>
        </w:tc>
        <w:tc>
          <w:tcPr>
            <w:tcW w:type="dxa" w:w="1900"/>
            <w:tcMar>
              <w:top w:type="dxa" w:w="100"/>
              <w:left w:type="dxa" w:w="100"/>
              <w:bottom w:type="dxa" w:w="100"/>
              <w:right w:type="dxa" w:w="100"/>
            </w:tcMar>
          </w:tcPr>
          <w:p>
            <w:pPr>
              <w:jc w:val="center"/>
            </w:pPr>
            <w:r>
              <w:rPr>
                <w:b w:val="false"/>
                <w:bCs w:val="false"/>
                <w:color w:val="000000"/>
                <w:sz w:val="20"/>
                <w:szCs w:val="20"/>
              </w:rPr>
              <w:t xml:space="preserve">351.1</w:t>
            </w:r>
          </w:p>
        </w:tc>
        <w:tc>
          <w:tcPr>
            <w:tcW w:type="dxa" w:w="1900"/>
            <w:tcMar>
              <w:top w:type="dxa" w:w="100"/>
              <w:left w:type="dxa" w:w="100"/>
              <w:bottom w:type="dxa" w:w="100"/>
              <w:right w:type="dxa" w:w="100"/>
            </w:tcMar>
          </w:tcPr>
          <w:p>
            <w:pPr>
              <w:jc w:val="center"/>
            </w:pPr>
            <w:r>
              <w:rPr>
                <w:b w:val="false"/>
                <w:bCs w:val="false"/>
                <w:color w:val="000000"/>
                <w:sz w:val="20"/>
                <w:szCs w:val="20"/>
              </w:rPr>
              <w:t xml:space="preserve">5697.2</w:t>
            </w:r>
          </w:p>
        </w:tc>
        <w:tc>
          <w:tcPr>
            <w:tcW w:type="dxa" w:w="960"/>
            <w:tcMar>
              <w:top w:type="dxa" w:w="100"/>
              <w:left w:type="dxa" w:w="100"/>
              <w:bottom w:type="dxa" w:w="100"/>
              <w:right w:type="dxa" w:w="100"/>
            </w:tcMar>
          </w:tcPr>
          <w:p>
            <w:pPr>
              <w:jc w:val="center"/>
            </w:pPr>
            <w:r>
              <w:rPr>
                <w:b/>
                <w:bCs/>
                <w:color w:val="000000"/>
                <w:sz w:val="20"/>
                <w:szCs w:val="20"/>
              </w:rPr>
              <w:t xml:space="preserve">0</w:t>
            </w:r>
          </w:p>
        </w:tc>
      </w:tr>
    </w:tbl>
    <w:p>
      <w:pPr>
        <w:spacing w:after="240"/>
      </w:pPr>
    </w:p>
    <w:p>
      <w:pPr>
        <w:spacing w:after="160"/>
        <w:jc w:val="both"/>
      </w:pPr>
      <w:r>
        <w:t xml:space="preserve">Across all five tests, a combined total of 771,761 transactions were processed with zero failures. Average throughput remained within a narrow band of approximately 2.4% around 5717.1 TPS, regardless of client count.</w:t>
      </w:r>
    </w:p>
    <w:p>
      <w:pPr>
        <w:pStyle w:val="Heading1"/>
        <w:spacing w:after="160" w:before="320"/>
      </w:pPr>
      <w:r>
        <w:t xml:space="preserve">5. Analysis</w:t>
      </w:r>
    </w:p>
    <w:p>
      <w:pPr>
        <w:spacing w:after="160"/>
        <w:jc w:val="both"/>
      </w:pPr>
      <w:r>
        <w:t xml:space="preserve">Throughput (TPS) stayed essentially flat — within a few percent — across the full range from 50 to 2,000 concurrent clients. This indicates the database and pooling layer reached a stable processing ceiling early (around 50 clients) and simply sustained it as load increased further, rather than degrading.</w:t>
      </w:r>
    </w:p>
    <w:p>
      <w:pPr>
        <w:spacing w:after="160"/>
        <w:jc w:val="both"/>
      </w:pPr>
      <w:r>
        <w:t xml:space="preserve">Average latency, on the other hand, increased roughly in proportion to the number of concurrent clients (from 8.8 ms at 50 clients to 351 ms at 2,000 clients). This is the expected and healthy behavior predicted by queueing theory (Little's Law): once throughput saturates, additional concurrent clients simply wait longer in queue rather than causing errors or failures. This is a sign of graceful degradation, not instability.</w:t>
      </w:r>
    </w:p>
    <w:p>
      <w:pPr>
        <w:spacing w:after="160"/>
        <w:jc w:val="both"/>
      </w:pPr>
      <w:r>
        <w:t xml:space="preserve">Zero failed transactions were recorded in any test, including at 2,000 concurrent clients — roughly 10x the number of real connections PgBouncer maintains to PostgreSQL (pool size 20). This confirms that PgBouncer's transaction-pooling mode is successfully absorbing a much larger number of client connections than PostgreSQL's own connection limit would allow if clients connected directly.</w:t>
      </w:r>
    </w:p>
    <w:p>
      <w:pPr>
        <w:spacing w:after="160"/>
        <w:jc w:val="both"/>
      </w:pPr>
      <w:r>
        <w:t xml:space="preserve">Prior to reaching this configuration, several earlier iterations were tested and discarded because they did not improve results or made them worse:</w:t>
      </w:r>
    </w:p>
    <w:p>
      <w:pPr>
        <w:pStyle w:val="ListParagraph"/>
        <w:numPr>
          <w:ilvl w:val="0"/>
          <w:numId w:val="1"/>
        </w:numPr>
        <w:spacing w:after="80"/>
      </w:pPr>
      <w:r>
        <w:t xml:space="preserve">Increasing PgBouncer's pool size beyond 20 (tested up to 80) did not increase throughput and in some cases reduced it, indicating the bottleneck was not connection-pool capacity.</w:t>
      </w:r>
    </w:p>
    <w:p>
      <w:pPr>
        <w:pStyle w:val="ListParagraph"/>
        <w:numPr>
          <w:ilvl w:val="0"/>
          <w:numId w:val="1"/>
        </w:numPr>
        <w:spacing w:after="80"/>
      </w:pPr>
      <w:r>
        <w:t xml:space="preserve">Increasing allocated CPU/RAM to Docker (from default limits to 12 vCPUs / 12 GB) produced no measurable change in throughput, ruling out hardware resource limits as the bottleneck under this workload.</w:t>
      </w:r>
    </w:p>
    <w:p>
      <w:pPr>
        <w:pStyle w:val="ListParagraph"/>
        <w:numPr>
          <w:ilvl w:val="0"/>
          <w:numId w:val="1"/>
        </w:numPr>
        <w:spacing w:after="80"/>
      </w:pPr>
      <w:r>
        <w:t xml:space="preserve">The single largest factor was ensuring the benchmark schema itself was large enough (scale factor 100) that concurrent clients were not artificially contending to update the same database row — a low scale factor had been masking the database's true capacity behind a self-inflicted lock-contention bottleneck.</w:t>
      </w:r>
    </w:p>
    <w:p>
      <w:pPr>
        <w:pStyle w:val="Heading1"/>
        <w:spacing w:after="160" w:before="320"/>
      </w:pPr>
      <w:r>
        <w:t xml:space="preserve">6. Conclusion</w:t>
      </w:r>
    </w:p>
    <w:p>
      <w:pPr>
        <w:spacing w:after="160"/>
        <w:jc w:val="both"/>
      </w:pPr>
      <w:r>
        <w:t xml:space="preserve">Under direct load (bypassing the application API), the PostgreSQL + PgBouncer configuration used in this project sustains approximately 5,650–5,790 transactions per second with zero failed transactions, scaling gracefully from 50 up to 2,000 concurrent clients. Latency grows predictably with load rather than causing errors, and the system shows no signs of instability, connection exhaustion, or data loss within the tested range.</w:t>
      </w:r>
    </w:p>
    <w:p>
      <w:pPr>
        <w:spacing w:after="160"/>
        <w:jc w:val="both"/>
      </w:pPr>
      <w:r>
        <w:t xml:space="preserve">This confirms the database layer is not the limiting factor for the project at current expected usage levels. The next phase of testing will exercise the same workload through the FastAPI backend and its individual endpoints, to evaluate the application layer under equivalent load.</w:t>
      </w:r>
    </w:p>
    <w:p>
      <w:pPr>
        <w:pStyle w:val="Heading1"/>
        <w:spacing w:after="160" w:before="320"/>
      </w:pPr>
      <w:r>
        <w:t xml:space="preserve">7. Reproducing These Tests</w:t>
      </w:r>
    </w:p>
    <w:p>
      <w:pPr>
        <w:spacing w:after="160"/>
        <w:jc w:val="both"/>
      </w:pPr>
      <w:r>
        <w:t xml:space="preserve">Initialize the test database (run once):</w:t>
      </w:r>
    </w:p>
    <w:p>
      <w:pPr>
        <w:spacing w:after="160"/>
      </w:pPr>
      <w:r>
        <w:rPr>
          <w:rFonts w:ascii="Consolas" w:cs="Consolas" w:eastAsia="Consolas" w:hAnsi="Consolas"/>
          <w:sz w:val="18"/>
          <w:szCs w:val="18"/>
        </w:rPr>
        <w:t xml:space="preserve">docker exec steam-pgbouncer sh -c "PGPASSWORD=steam_password pgbench -h localhost -p 6432 -U steam_user -i -s 100 pgbench_test"</w:t>
      </w:r>
    </w:p>
    <w:p>
      <w:pPr>
        <w:spacing w:after="160"/>
        <w:jc w:val="both"/>
      </w:pPr>
      <w:r>
        <w:t xml:space="preserve">Run a load test (example: 500 concurrent clients, 30 seconds):</w:t>
      </w:r>
    </w:p>
    <w:p>
      <w:pPr>
        <w:spacing w:after="160"/>
      </w:pPr>
      <w:r>
        <w:rPr>
          <w:rFonts w:ascii="Consolas" w:cs="Consolas" w:eastAsia="Consolas" w:hAnsi="Consolas"/>
          <w:sz w:val="18"/>
          <w:szCs w:val="18"/>
        </w:rPr>
        <w:t xml:space="preserve">docker exec steam-pgbouncer sh -c "PGPASSWORD=steam_password pgbench -h localhost -p 6432 -U steam_user -c 500 -j 10 -T 30 pgbench_test"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2026-09-19T12:10:40.354Z</dcterms:created>
  <dcterms:modified xsi:type="dcterms:W3CDTF">2026-09-19T12:10:40.354Z</dcterms:modified>
</cp:coreProperties>
</file>

<file path=docProps/custom.xml><?xml version="1.0" encoding="utf-8"?>
<Properties xmlns="http://schemas.openxmlformats.org/officeDocument/2006/custom-properties" xmlns:vt="http://schemas.openxmlformats.org/officeDocument/2006/docPropsVTypes"/>
</file>