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Акт приемки</w:t>
      </w:r>
    </w:p>
    <w:p>
      <w:r>
        <w:t>Текст акта о приемке выполненных работ по объекту...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Представитель застройщика (технического заказчика), эксплуатирующей организации или регионального оператора) по вопросам строительного контроля</w:t>
            </w:r>
          </w:p>
        </w:tc>
        <w:tc>
          <w:tcPr>
            <w:tcW w:type="dxa" w:w="4320"/>
          </w:tcPr>
          <w:p>
            <w:r>
              <w:t>Лахтионова И.А.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260000" cy="2765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_Лахтионова_И.А.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2765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Представитель лица, выполнившего работы, подлежащие освидетельствованию</w:t>
            </w:r>
          </w:p>
        </w:tc>
        <w:tc>
          <w:tcPr>
            <w:tcW w:type="dxa" w:w="4320"/>
          </w:tcPr>
          <w:p>
            <w:r>
              <w:t>Наронов Д.В.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260000" cy="571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_Наронов_Д.В.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57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Представитель подрядчика по электромонтажным работам</w:t>
            </w:r>
          </w:p>
        </w:tc>
        <w:tc>
          <w:tcPr>
            <w:tcW w:type="dxa" w:w="4320"/>
          </w:tcPr>
          <w:p>
            <w:r>
              <w:t>Сидоров П.П.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