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ТЕХНИЧЕСКОЕ ЗАДАНИЕ (SRS)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Система автоматизированной проверки макетов этикеток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БАД, спортивного питания и бакалейной продукции</w:t>
      </w:r>
    </w:p>
    <w:p>
      <w:pPr>
        <w:spacing w:before="30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Заказчик: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ООО «АЛИНА ФАРМА»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Версия документа: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Дата: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Июнь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Статус: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 согласование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Язык интерфейса: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Русский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Введение</w:t>
      </w:r>
    </w:p>
    <w:p>
      <w:pPr>
        <w:pStyle w:val="Heading2"/>
      </w:pPr>
      <w:r>
        <w:t xml:space="preserve">1.1 Цели документа</w:t>
      </w:r>
    </w:p>
    <w:p>
      <w:pPr>
        <w:spacing w:after="120"/>
      </w:pPr>
      <w:r>
        <w:t xml:space="preserve">Настоящий документ является Техническим заданием (Software Requirements Specification, SRS) на разработку системы автоматизированной проверки макетов этикеток, коробочек и инструкций (вкладышей) для продукции ООО «АЛИНА ФАРМА».</w:t>
      </w:r>
    </w:p>
    <w:p>
      <w:pPr>
        <w:spacing w:after="120"/>
      </w:pPr>
      <w:r>
        <w:t xml:space="preserve">Документ описывает функциональные и нефункциональные требования к системе, ограничения, модели данных, API-контракты и критерии приёмки. Служит основой для проектирования, разработки и тестирования.</w:t>
      </w:r>
    </w:p>
    <w:p>
      <w:pPr>
        <w:pStyle w:val="Heading2"/>
      </w:pPr>
      <w:r>
        <w:t xml:space="preserve">1.2 Область применения</w:t>
      </w:r>
    </w:p>
    <w:p>
      <w:pPr>
        <w:spacing w:after="120"/>
      </w:pPr>
      <w:r>
        <w:t xml:space="preserve">Система предназначена для проверки макетов трёх категорий продукции: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Биологически активные добавки (БАД) — требования ТР ТС 022/2011, МР 2.3.1.0253-21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Спортивное питание — требования ТР ТС 022/2011 (с учётом специфики категории)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Бакалейная продукция — Единые санитарно-эпидемиологические требования ЕАЭС</w:t>
      </w:r>
    </w:p>
    <w:p>
      <w:pPr>
        <w:pStyle w:val="Heading2"/>
      </w:pPr>
      <w:r>
        <w:t xml:space="preserve">1.3 Определения и сокращения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7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БАД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Биологически активная добавка к пище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ПЭН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Программный эталон наименования — структурированный документ Word с утверждёнными данными о продукте (состав, дозировки, реквизиты и т.д.)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Optical Character Recognition — распознавание текста на изображениях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Large Language Model — большая языковая модель (GPT, Gemini, Claude и др.)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ЕАЭС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Евразийский экономический союз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ТР ТС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Технический регламент Таможенного союза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Методические рекомендации Роспотребнадзора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СГР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Свидетельство о государственной регистрации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ТУ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Технические условия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International Nomenclature Cosmetic Ingredients — международная номенклатура ингредиентов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RBAC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Role-Based Access Control — управление доступом на основе ролей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JSON Web Token — токен аутентификации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Amazon S3-совместимый протокол объектного хранилища</w:t>
            </w:r>
          </w:p>
        </w:tc>
      </w:tr>
    </w:tbl>
    <w:p>
      <w:pPr>
        <w:pStyle w:val="Heading2"/>
      </w:pPr>
      <w:r>
        <w:t xml:space="preserve">1.4 Ссылки на нормативные документы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 ТС 022/2011 «Пищевая продукция в части её маркировки» — Приложение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МР 2.3.1.0253-21 «Нормы физиологических потребностей в энергии и пищевых веществах» — Раздел 5.3, Таблица 21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Единые санитарно-эпидемиологические и гигиенические требования ЕАЭС — Глава II, Раздел 1, Приложение 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Федеральный закон № 152-ФЗ «О персональных данных»</w:t>
      </w:r>
    </w:p>
    <w:p>
      <w:r>
        <w:br w:type="page"/>
      </w:r>
    </w:p>
    <w:p>
      <w:pPr>
        <w:pStyle w:val="Heading1"/>
      </w:pPr>
      <w:r>
        <w:t xml:space="preserve">2. Общее описание системы</w:t>
      </w:r>
    </w:p>
    <w:p>
      <w:pPr>
        <w:pStyle w:val="Heading2"/>
      </w:pPr>
      <w:r>
        <w:t xml:space="preserve">2.1 Контекст системы</w:t>
      </w:r>
    </w:p>
    <w:p>
      <w:pPr>
        <w:spacing w:after="120"/>
      </w:pPr>
      <w:r>
        <w:t xml:space="preserve">Система является самостоятельным веб-приложением. В MVP не требует интеграции с внешними корпоративными системами (1С, ЭДО, DAM). Взаимодействует с внешними API-сервисами OCR и LLM для выполнения проверок. Все данные хранятся на территории РФ.</w:t>
      </w:r>
    </w:p>
    <w:p>
      <w:pPr>
        <w:pStyle w:val="Heading2"/>
      </w:pPr>
      <w:r>
        <w:t xml:space="preserve">2.2 Функции системы (верхний уровень)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Загрузка и хранение макетов и эталонов ПЭН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Автоматический многоэтапный анализ макетов (OCR + 4 модуля проверки)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Генерация структурированных отчётов с аннотированным 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Ведение журнала проверок и версионирование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Гибкая настройка провайдеров AI/OCR администратором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Экспорт результатов (PDF, Excel, Word)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Согласование макета для отправки в типографию</w:t>
      </w:r>
    </w:p>
    <w:p>
      <w:pPr>
        <w:pStyle w:val="Heading2"/>
      </w:pPr>
      <w:r>
        <w:t xml:space="preserve">2.3 Характеристики пользователей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Характеристики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Специалист по регистрации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Основной пользователь. Работает с системой ежедневно. Хорошо знает нормативные требования к маркировке. Не обязан быть технически квалифицированным. Использует все производственные функции.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Технически квалифицированный пользователь. Настраивает систему. Управляет пользователями и API-ключами. Обычно 1 человек на организацию.</w:t>
            </w:r>
          </w:p>
        </w:tc>
      </w:tr>
    </w:tbl>
    <w:p>
      <w:pPr>
        <w:pStyle w:val="Heading2"/>
      </w:pPr>
      <w:r>
        <w:t xml:space="preserve">2.4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Язык интерфейса — только русский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данные должны храниться на серверах в РФ (требование 152-ФЗ)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Шифрование API-ключей обязательно (хранятся в зашифрованном виде)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Данные о рецептурах (ПЭН) являются коммерческой тайной — строгий контроль доступа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Внешние API-запросы к LLM/OCR разрешены (данные макетов передаются провайдерам по выбору администратора)</w:t>
      </w:r>
    </w:p>
    <w:p>
      <w:r>
        <w:br w:type="page"/>
      </w:r>
    </w:p>
    <w:p>
      <w:pPr>
        <w:pStyle w:val="Heading1"/>
      </w:pPr>
      <w:r>
        <w:t xml:space="preserve">3. Функциональные требования</w:t>
      </w:r>
    </w:p>
    <w:p>
      <w:pPr>
        <w:pStyle w:val="Heading2"/>
      </w:pPr>
      <w:r>
        <w:t xml:space="preserve">3.1 Аутентификация и авторизация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1200"/>
        <w:gridCol w:w="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FR-AUTH-01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Регистрация пользователей только администратором (самостоятельная регистрация отсутствует)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FR-AUTH-02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Аутентификация по логину (email) и паролю с выдачей JWT access + refresh токенов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FR-AUTH-03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Access token TTL: 15 минут. Refresh token TTL: 7 дней. Автоматическое обновление.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FR-AUTH-04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Хеширование паролей: bcrypt, cost factor &gt;= 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FR-AUTH-05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RBAC: две роли — admin и specialist. Права проверяются на уровне API.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FR-AUTH-06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Audit log: все действия пользователей (загрузка, запуск проверки, согласование) записываются с timestamp, user_id, action, resource_id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2"/>
      </w:pPr>
      <w:r>
        <w:t xml:space="preserve">3.2 Загрузка файлов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1200"/>
        <w:gridCol w:w="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FR-UPL-01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Загрузка макетов: форматы PDF и JPG/JPEG. Максимальный размер файла: 100 МБ.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FR-UPL-02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Загрузка ПЭН: формат DOCX (Word). Максимальный размер: 20 МБ.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FR-UPL-03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Веб-интерфейс drag &amp; drop + multi-select с отображением списка файлов и прогресса загрузки.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FR-UPL-04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Пакетная загрузка через ZIP-архив: система автоматически распаковывает и сопоставляет файлы (по имени или интерактивно).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FR-UPL-05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Версионирование: при повторной загрузке файла с тем же именем/продуктом создаётся новая версия, предыдущая сохраняется.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FR-UPL-06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Хранение файлов в Selectel Object Storage. Метаданные (имя, тип, версия, user_id, timestamp) в PostgreSQL.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FR-UPL-07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Поддержка загрузки комплекта (этикетка + коробочка + инструкция) как единой группы.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2"/>
      </w:pPr>
      <w:r>
        <w:t xml:space="preserve">3.3 Пайплайн проверки</w:t>
      </w:r>
    </w:p>
    <w:p>
      <w:pPr>
        <w:pStyle w:val="Heading3"/>
      </w:pPr>
      <w:r>
        <w:t xml:space="preserve">3.3.1 Общие требования к пайплайну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1200"/>
        <w:gridCol w:w="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FR-PIP-01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Пайплайн запускается асинхронно через Celery. Результаты доступны по polling или WebSocket.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FR-PIP-02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Гибридный режим: провайдер каждого из 5 этапов настраивается независимо в админ-панели.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FR-PIP-03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Единый LLM-режим: одна выбранная модель выполняет все этапы. Переключение в админ-панели.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FR-PIP-04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При ошибке провайдера: автоматический retry (3 попытки с backoff), затем fallback или статус FAILED.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FR-PIP-05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Статусы задачи: PENDING, RUNNING, COMPLETED, FAILED, CANCELLED. Доступны через API.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FR-PIP-06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Возможность отмены запущенной задачи и повторного запуска.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3"/>
      </w:pPr>
      <w:r>
        <w:t xml:space="preserve">3.3.2 Этап 1: Извлечение текста (OCR)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1200"/>
        <w:gridCol w:w="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FR-OCR-01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Для PDF: сначала попытка извлечения text layer (pdfplumber). Если покрытие &lt; 80% страницы — запуск OCR.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FR-OCR-02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Для JPG и PDF с растрированным текстом: обязательный OCR через выбранного провайдера.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FR-OCR-03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Поддерживаемые OCR-провайдеры: Yandex Vision API, ABBYY Cloud OCR SDK, OpenAI GPT-4o Vision, Google Gemini Vision, Anthropic Claude Vision.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FR-OCR-04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 должен поддерживать русский язык, кириллицу, латиницу, цифры, спецсимволы (мг, мкг, МЕ, %).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FR-OCR-05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Сохранение координат текстовых блоков для последующей аннотации PDF.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FR-OCR-06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Поддержка многоязычных этикеток: извлечение текстов на русском и языках стран ЕАЭС (казахский, белорусский, армянский, киргизский).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3"/>
      </w:pPr>
      <w:r>
        <w:t xml:space="preserve">3.3.3 Этап 2: Орфография и стилистика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1200"/>
        <w:gridCol w:w="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FR-ORTH-01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Проверка орфографии на русском языке и латинице (адреса иностранных производителей).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FR-ORTH-02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Использование отраслевого словаря: ингредиенты (INCI-номенклатура), латинские наименования, сокращения (мг, мкг, МЕ, г, мл). Слова из словаря не помечаются как ошибки.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FR-ORTH-03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Белый список брендов и товарных знаков. Пользователь может добавлять/удалять записи.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FR-ORTH-04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Выявление стилистических проблем: тавтология, типографика (прямые кавычки вместо «ёлочек», неправильные тире), неразрывные пробелы.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FR-ORTH-05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Выявление ошибок переносов и «висячих» строк в вёрстке.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FR-ORTH-06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Каждое замечание содержит: текст ошибки, предлагаемое исправление, координаты на макете.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3"/>
      </w:pPr>
      <w:r>
        <w:t xml:space="preserve">3.3.4 Этап 3: Сверка с ПЭН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1200"/>
        <w:gridCol w:w="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FR-PEN-01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Парсинг структурированного ПЭН (DOCX): извлечение полей по заголовкам (наименование, состав, дозировки, масса нетто, реквизиты производителя, № и дата СГР, № ТУ и др.).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FR-PEN-02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Толерантное совпадение: без учёта регистра, лишних пробелов, переносов строк.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FR-PEN-03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Сигнализация о вариантах записи: «мг» vs «миллиграмм», «вит. С» vs «витамин С», форматы дат (DD.MM.YYYY vs DD/MM/YYYY) и т.д.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FR-PEN-04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Проверка порядка компонентов состава по убыванию массовой доли согласно ПЭН.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FR-PEN-05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Сверка числовых значений и единиц измерения (дозировки, масса нетто, количество в упаковке). Любое расхождение сигнализируется.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FR-PEN-06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Дословная сверка обязательной фразы «БАД. Не является лекарственным средством» согласно тексту ПЭН.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FR-PEN-07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Проверка наличия и корректности реквизитов производителя: юридический адрес, адрес производства, контакты для претензий, № ТУ, № и дата СГР.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FR-PEN-08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Проверка соответствия формы выпуска (капсулы, таблетки, порошки, жидкости, мармелад жевательный) правилам маркировки категории.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3"/>
      </w:pPr>
      <w:r>
        <w:t xml:space="preserve">3.3.5 Этап 4: Нормативный чек-лист и layout-анализ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1200"/>
        <w:gridCol w:w="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FR-REG-01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Чек-лист на соответствие ТР ТС 022/2011 Приложение 2: наличие всех обязательных элементов маркировки.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FR-REG-02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Чек-лист МР 2.3.1.0253-21 Раздел 5.3, Таблица 21: форматы указания нутриентов.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FR-REG-03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Чек-лист Единых санитарно-эпидемиологических требований ЕАЭС Глава II, Раздел 1, Приложение 5.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FR-REG-04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Проверка наличия знака обращения ЕАЭС (ЕАС) — обязательно.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FR-REG-05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Проверка наличия штрих-кода и петли Мёбиуса (знак переработки).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FR-REG-06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Layout-анализ: оценка размера шрифта для обязательных элементов (наименование, дата изготовления, срок годности) — требование &gt;= 2 мм. Реализуется через vision-провайдера с калибровкой.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FR-REG-07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Layout-анализ: оценка контрастности текста к фону (базовая проверка читаемости).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FR-REG-08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Чек-лист настраиваемый: администратор и специалист могут обновлять правила через интерфейс справочников.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3"/>
      </w:pPr>
      <w:r>
        <w:t xml:space="preserve">3.3.6 Этап 5: Генерация отчёта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1200"/>
        <w:gridCol w:w="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FR-REP-01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Генерация аннотированного PDF: поверх оригинального макета накладываются цветные прямоугольники — красный (ошибка), жёлтый (предупреждение), зелёный (ок).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FR-REP-02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Структурированный список расхождений: тип, описание, расположение, источник (какой модуль обнаружил), предлагаемое действие.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FR-REP-03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Клик по замечанию в списке — прокрутка и подсветка соответствующего места в PDF.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FR-REP-04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Экспорт в PDF: полный отчёт с аннотациями и списком замечаний.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FR-REP-05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Экспорт в Excel: таблица расхождений (колонки: №, тип, описание, место, статус).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FR-REP-06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Экспорт в Word: структурированный отчёт.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2"/>
      </w:pPr>
      <w:r>
        <w:t xml:space="preserve">3.4 Журнал, версионирование и дифф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1200"/>
        <w:gridCol w:w="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FR-LOG-01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Журнал всех проверок: поиск по наименованию продукта, дате, статусу, пользователю.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FR-LOG-02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Версионирование: каждая загрузка нового файла для того же продукта создаёт новую версию. Все версии доступны в истории.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FR-LOG-03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Дифф версий (текстовый): визуализация добавленных/удалённых/изменённых текстовых блоков между двумя версиями.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FR-LOG-04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Дифф версий (визуальный): side-by-side сравнение двух версий макета.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FR-LOG-05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Согласование макета: кнопка «Согласовать для типографии» — фиксирует версию, статус, пользователя и timestamp.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2"/>
      </w:pPr>
      <w:r>
        <w:t xml:space="preserve">3.5 Справочники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1200"/>
        <w:gridCol w:w="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FR-REF-01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Отраслевой словарь: CRUD-операции. Категории: INCI-ингредиенты, латинские наименования, сокращения, спецсимволы. Доступен специалисту.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FR-REF-02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Белый список брендов и ТЗ: CRUD. Доступен специалисту.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FR-REF-03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Правила категорий продукции: настройка специфики проверок для БАД, Спортпита, Бакалеи. Доступен специалисту.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FR-REF-04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Нормативный чек-лист: возможность добавить/отключить/изменить пункты. Доступен специалисту.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FR-REF-05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Настройка tolerance: порог допустимого расхождения для числовых значений (например, ±0.1%). Доступен специалисту.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2"/>
      </w:pPr>
      <w:r>
        <w:t xml:space="preserve">3.6 Административная панель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1200"/>
        <w:gridCol w:w="8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FR-ADM-01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Управление пользователями: создание, редактирование, блокировка, удаление. Назначение ролей.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FR-ADM-02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Управление API-ключами провайдеров: Yandex Vision, ABBYY, OpenAI, Google Gemini, Anthropic Claude, xAI Grok. Поля с маскировкой, кнопка «Проверить подключение».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FR-ADM-03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Конфигурация пайплайна: выпадающие списки для назначения провайдера на каждый из 4 этапов. Переключатель «Гибридный / Единый LLM».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FR-ADM-04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Настройка Selectel Object Storage: endpoint, access key, secret key, bucket name, регион. Кнопка проверки подключения.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FR-ADM-05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Просмотр системных логов и базовой статистики (количество проверок за период, ошибки).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Нефункциональные требования</w:t>
      </w:r>
    </w:p>
    <w:p>
      <w:pPr>
        <w:pStyle w:val="Heading2"/>
      </w:pPr>
      <w:r>
        <w:t xml:space="preserve">4.1 Производительность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Обработка типичного макета (PDF/JPG + ПЭН) в гибридном режиме: не более 90 секунд от запуска до готового результата.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едином LLM-режиме: не более 45 секунд.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Пакетная обработка 10–20 файлов: параллельная обработка через Celery, линейное масштабирование.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Время отклика API (не считая AI-обработку): не более 500 мс для 95-го процентиля.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Поддержка не менее 10 одновременных пользователей в MVP.</w:t>
      </w:r>
    </w:p>
    <w:p>
      <w:pPr>
        <w:pStyle w:val="Heading2"/>
      </w:pPr>
      <w:r>
        <w:t xml:space="preserve">4.2 Безопасность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соединения: HTTPS (TLS 1.3).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Хранение паролей: bcrypt, cost factor &gt;= 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API-ключи провайдеров: хранятся зашифрованными (AES-256) в БД, в UI отображаются маскированными.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RBAC: права проверяются на уровне каждого API-эндпоинта.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log: все действия пользователей с привязкой к user_id, IP, timestamp.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Защита от CSRF, XSS, SQL-инъекций (параметризованные запросы, Content Security Policy).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Файлы ПЭН: доступны только авторизованным пользователям, ссылки на S3 — presigned URLs с TTL 1 час.</w:t>
      </w:r>
    </w:p>
    <w:p>
      <w:pPr>
        <w:pStyle w:val="Heading2"/>
      </w:pPr>
      <w:r>
        <w:t xml:space="preserve">4.3 Соответствие требованиям 152-ФЗ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данные (файлы, БД, логи) хранятся исключительно на серверах в Российской Федерации.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Провайдер хранилища: Selectel (ЦОД в РФ).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Передача персональных данных за рубеж отсутствует (имена пользователей не передаются в LLM).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Согласие на обработку персональных данных фиксируется при создании учётной записи.</w:t>
      </w:r>
    </w:p>
    <w:p>
      <w:pPr>
        <w:pStyle w:val="Heading2"/>
      </w:pPr>
      <w:r>
        <w:t xml:space="preserve">4.4 Надёжность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Время доступности системы (uptime): не менее 99% в рабочее время (пн–пт, 8:00–20:00 МСК).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Автоматический retry при ошибках OCR/LLM: 3 попытки с экспоненциальным backoff.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исчерпании retry: задача переводится в статус FAILED, пользователь уведомляется.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Возможность ручного повтора задачи из журнала.</w:t>
      </w:r>
    </w:p>
    <w:p>
      <w:pPr>
        <w:pStyle w:val="Heading2"/>
      </w:pPr>
      <w:r>
        <w:t xml:space="preserve">4.5 Usability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Стандартный сценарий (загрузить → выбрать ПЭН → запустить → просмотреть) — не более 4 кликов.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Поддержка drag &amp; drop, multi-select, ZIP.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Прогресс-бары для длительных операций (OCR, AI-проверки).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Светлая и тёмная тема, responsive для планшетов.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Keyboard-friendly навигация, ARIA-атрибуты.</w:t>
      </w:r>
    </w:p>
    <w:p>
      <w:r>
        <w:br w:type="page"/>
      </w:r>
    </w:p>
    <w:p>
      <w:pPr>
        <w:pStyle w:val="Heading1"/>
      </w:pPr>
      <w:r>
        <w:t xml:space="preserve">5. Модель данных</w:t>
      </w:r>
    </w:p>
    <w:p>
      <w:pPr>
        <w:pStyle w:val="Heading2"/>
      </w:pPr>
      <w:r>
        <w:t xml:space="preserve">5.1 Основные сущности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email, password_hash, role (admin/specialist), is_active, created_at, last_login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name, category (bad/sport/grocery), created_by,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mockups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product_id, version, file_type (pdf/jpg), s3_key, original_name, uploaded_by,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pen_documents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product_id, version, s3_key, parsed_fields (JSONB), uploaded_by,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check_tasks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mockup_id, pen_id, status, mode (hybrid/unified), pipeline_config (JSONB), started_at, completed_at,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check_results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task_id, stage (ocr/spelling/pen/regulatory/report), issues (JSONB), annotated_pdf_s3_key,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issues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result_id, type (error/warning/info), module, description, suggestion, bbox (JSONB), status (open/resolved)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audit_log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user_id, action, resource_type, resource_id, ip_address,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dictionary_entries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term, category, added_by,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brand_whitelist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brand_name, added_by,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system_config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key, value (encrypted for api_keys), updated_by, updated_at</w:t>
            </w:r>
          </w:p>
        </w:tc>
      </w:tr>
    </w:tbl>
    <w:p>
      <w:pPr>
        <w:pStyle w:val="Heading2"/>
      </w:pPr>
      <w:r>
        <w:t xml:space="preserve">5.2 Структура parsed_fields ПЭН (JSONB)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  "product_name": "string",
  "product_category": "bad|sport|grocery",
  "dosage_form": "капсулы|таблетки|порошок|жидкость|...",
  "net_weight": "string",
  "serving_size": "string",
  "servings_per_pack": "string",
  "composition": [{"name": "string", "amount": "string", "unit": "string"}],
  "bad_disclaimer": "string",
  "manufacturer": {"legal_name": "string", "legal_address": "string", "production_address": "string", "complaints_contact": "string"},
  "sgr_number": "string",
  "sgr_date": "string",
  "tu_number": "string",
  "shelf_life": "string",
  "storage_conditions": "string",
  "eaeu_mark_required": true
}</w:t>
      </w:r>
    </w:p>
    <w:p>
      <w:r>
        <w:br w:type="page"/>
      </w:r>
    </w:p>
    <w:p>
      <w:pPr>
        <w:pStyle w:val="Heading1"/>
      </w:pPr>
      <w:r>
        <w:t xml:space="preserve">6. API-контракт (REST)</w:t>
      </w:r>
    </w:p>
    <w:p>
      <w:pPr>
        <w:pStyle w:val="Heading2"/>
      </w:pPr>
      <w:r>
        <w:t xml:space="preserve">6.1 Базовый URL и аутентификация</w:t>
      </w:r>
    </w:p>
    <w:p>
      <w:pPr>
        <w:spacing w:after="120"/>
      </w:pPr>
      <w:r>
        <w:t xml:space="preserve">Базовый URL: /api/v1/</w:t>
      </w:r>
    </w:p>
    <w:p>
      <w:pPr>
        <w:spacing w:after="120"/>
      </w:pPr>
      <w:r>
        <w:t xml:space="preserve">Аутентификация: Bearer JWT в заголовке Authorization. Все эндпоинты (кроме /auth/*) требуют токен.</w:t>
      </w:r>
    </w:p>
    <w:p>
      <w:pPr>
        <w:pStyle w:val="Heading2"/>
      </w:pPr>
      <w:r>
        <w:t xml:space="preserve">6.2 Эндпоинты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626"/>
        <w:gridCol w:w="200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Вход — возвращает access+refresh токены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Обновление access токена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Инвалидация refresh токена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Список пользователей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Создание пользователя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/users/{id}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Обновление пользователя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/users/{id}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Удаление / блокировка пользователя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/uploads/mockup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Загрузка макета (PDF/JPG)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specialist+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/uploads/pen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Загрузка ПЭН (DOCX)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specialist+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/uploads/zip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Пакетная загрузка ZIP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specialist+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/products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Список продуктов с пагинацией и фильтрами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specialist+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/products/{id}/mockups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Версии макета продукта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specialist+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/checks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Запуск новой проверки (mockup_id, pen_id)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specialist+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/checks/{id}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Статус и результат проверки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specialist+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/checks/{id}/issues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Список замечаний проверки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specialist+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/checks/{id}/report/pdf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Скачать аннотированный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specialist+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/checks/{id}/export/excel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Экспорт расхождений в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specialist+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/checks/{id}/approve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Согласовать макет для типографии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specialist+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/checks/history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Журнал проверок с поиском/фильтрами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specialist+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/diff/{mockup_id_a}/{mockup_id_b}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Текстовый дифф двух версий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specialist+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/references/dictionary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CRUD отраслевого словаря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specialist+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GET/POST/DELETE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/references/brands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CRUD белого списка брендов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specialist+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GET/PUT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/admin/config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Настройки системы (API-ключи, пайплайн, S3)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/admin/config/test-connection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Проверить подключение к провайдеру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/admin/logs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Системные логи и статистика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Интеграции с внешними сервисами</w:t>
      </w:r>
    </w:p>
    <w:p>
      <w:pPr>
        <w:pStyle w:val="Heading2"/>
      </w:pPr>
      <w:r>
        <w:t xml:space="preserve">7.1 Поддерживаемые провайдеры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Применение</w:t>
            </w:r>
          </w:p>
        </w:tc>
        <w:tc>
          <w:tcPr>
            <w:tcW w:type="dxa" w:w="4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Метод аутентификации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Yandex Vision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IAM-токен или API-ключ Yandex Cloud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ABBYY Cloud OCR SDK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 (enterprise)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Application ID +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OpenAI API (GPT-4o)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 Vision + LLM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Bearer API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 Vision + LLM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 (structured output)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x-api-key header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xAI Grok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Bearer API Key (OpenAI-compatible)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Selectel Object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Хранилище файлов (S3)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Access Key + Secret Key</w:t>
            </w:r>
          </w:p>
        </w:tc>
      </w:tr>
    </w:tbl>
    <w:p>
      <w:pPr>
        <w:pStyle w:val="Heading2"/>
      </w:pPr>
      <w:r>
        <w:t xml:space="preserve">7.2 Абстрактный интерфейс провайдера</w:t>
      </w:r>
    </w:p>
    <w:p>
      <w:pPr>
        <w:spacing w:after="120"/>
      </w:pPr>
      <w:r>
        <w:t xml:space="preserve">Все OCR и LLM-провайдеры реализуют единый интерфейс (Python ABC), что позволяет легко добавлять новых и переключаться без изменения кода пайплайна: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BaseOCRProvider(ABC):
    async def extract_text(self, image_bytes: bytes, lang: str) -&gt; OCRResult
    async def test_connection(self) -&gt; bool
class BaseLLMProvider(ABC):
    async def check_spelling(self, text: str, dictionary: list) -&gt; SpellingResult
    async def compare_with_pen(self, ocr_text: str, pen_fields: dict) -&gt; PENResult
    async def check_regulatory(self, ocr_text: str, category: str) -&gt; RegulatoryResult
    async def analyze_layout(self, image_bytes: bytes) -&gt; LayoutResult
    async def test_connection(self) -&gt; bool</w:t>
      </w:r>
    </w:p>
    <w:p>
      <w:r>
        <w:br w:type="page"/>
      </w:r>
    </w:p>
    <w:p>
      <w:pPr>
        <w:pStyle w:val="Heading1"/>
      </w:pPr>
      <w:r>
        <w:t xml:space="preserve">8. Требования к UI/UX</w:t>
      </w:r>
    </w:p>
    <w:p>
      <w:pPr>
        <w:pStyle w:val="Heading2"/>
      </w:pPr>
      <w:r>
        <w:t xml:space="preserve">8.1 Дизайн-принципы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Принципы Nielsen Norman Group: видимость статуса системы, контроль пользователя, предотвращение ошибок, эффективность, минималистичный дизайн.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Минимальное количество кликов: стандартный сценарий &lt;= 4 кликов.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Немедленная визуальная обратная связь на все действия пользователя.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Прогресс-бары для операций дольше 2 секунд.</w:t>
      </w:r>
    </w:p>
    <w:p>
      <w:pPr>
        <w:pStyle w:val="Heading2"/>
      </w:pPr>
      <w:r>
        <w:t xml:space="preserve">8.2 Цветовая схема замечаний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Красный (#E53E3E)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Ошибка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Критическое несоответствие: расхождение с ПЭН, нарушение обязательного требования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Жёлтый (#D69E2E)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Предупреждение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Потенциальная проблема: стилистика, вариант написания, рекомендуемое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Зелёный (#38A169)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ОК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Элемент проверен и соответствует требованиям</w:t>
            </w:r>
          </w:p>
        </w:tc>
      </w:tr>
    </w:tbl>
    <w:p>
      <w:pPr>
        <w:pStyle w:val="Heading2"/>
      </w:pPr>
      <w:r>
        <w:t xml:space="preserve">8.3 Ключевые UX-требования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просмотр: встроенный viewer (PDF.js) с поддержкой аннотаций, масштабирования, навигации по страницам.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Клик по замечанию в списке — плавная прокрутка к соответствующей аннотации в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Дифф версий: side-by-side или unified вид (переключатель), подсветка изменений.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Онбординг: встроенный тур для новых пользователей, контекстная справка (tooltips).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Светлая и тёмная темы. Responsive для планшетов (iPad и аналоги).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Keyboard shortcuts: пробел = следующее замечание, Enter = открыть детали, Esc = закрыть панель.</w:t>
      </w:r>
    </w:p>
    <w:p>
      <w:r>
        <w:br w:type="page"/>
      </w:r>
    </w:p>
    <w:p>
      <w:pPr>
        <w:pStyle w:val="Heading1"/>
      </w:pPr>
      <w:r>
        <w:t xml:space="preserve">9. Требования к инфраструктуре</w:t>
      </w:r>
    </w:p>
    <w:p>
      <w:pPr>
        <w:pStyle w:val="Heading2"/>
      </w:pPr>
      <w:r>
        <w:t xml:space="preserve">9.1 Docker Compose (MVP / разработка)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
  postgres:    PostgreSQL 15
  redis:       Redis 7 (брокер Celery)
  backend:     FastAPI + Uvicorn
  worker:      Celery worker (обработка задач)
  frontend:    Vite dev server / nginx (prod)
  flower:      Celery Flower (мониторинг очереди, dev)</w:t>
      </w:r>
    </w:p>
    <w:p>
      <w:pPr>
        <w:pStyle w:val="Heading2"/>
      </w:pPr>
      <w:r>
        <w:t xml:space="preserve">9.2 Переменные окружения (backend)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DATABASE_URL=postgresql://user:pass@postgres:5432/alina_pharma
REDIS_URL=redis://redis:6379/0
SECRET_KEY=&lt;random 64 bytes hex&gt;
ENCRYPTION_KEY=&lt;AES-256 key for API keys&gt;
S3_ENDPOINT_URL=https://s3.selectel.ru
S3_ACCESS_KEY=&lt;from admin settings&gt;
S3_SECRET_KEY=&lt;from admin settings&gt;
S3_BUCKET=&lt;from admin settings&gt;
CORS_ORIGINS=http://localhost:5173,https://yourdomain.ru</w:t>
      </w:r>
    </w:p>
    <w:p>
      <w:r>
        <w:br w:type="page"/>
      </w:r>
    </w:p>
    <w:p>
      <w:pPr>
        <w:pStyle w:val="Heading1"/>
      </w:pPr>
      <w:r>
        <w:t xml:space="preserve">10. Критерии приёмки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30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Загрузка PDF с растрированным текстом — успешное извлечение текста через 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Функциональный тест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Загрузка ПЭН в формате DOCX — успешный парсинг всех полей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Функциональный тест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Сверка макета с ПЭН — система выявляет намеренно внесённые расхождения в числах, составе, реквизитах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Тест на реальных данных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Нормативный чек-лист — система обнаруживает отсутствие знака ЕАЭС и штрих-кода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Функциональный тест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Генерация аннотированного PDF с цветными маркерами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Визуальная проверка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Экспорт в Excel — корректная таблица расхождений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Функциональный тест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Время обработки типичного макета &lt;= 90 секунд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Performance тест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RBAC: специалист не может открыть страницу управления пользователями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Тест безопасности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API-ключи хранятся зашифрованными, не видны в API-ответах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Тест безопасности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Пакетная загрузка ZIP из 5 комплектов — корректная обработка каждого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Функциональный тест</w:t>
            </w:r>
          </w:p>
        </w:tc>
      </w:tr>
    </w:tbl>
    <w:p>
      <w:pPr>
        <w:spacing w:before="400"/>
        <w:jc w:val="center"/>
      </w:pPr>
      <w:r>
        <w:rPr>
          <w:color w:val="888888"/>
          <w:sz w:val="18"/>
          <w:szCs w:val="18"/>
        </w:rPr>
        <w:t xml:space="preserve">ООО «АЛИНА ФАРМА»  |  Конфиденциально  |  SRS v1.0  |  Июнь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color w:val="888888"/>
        <w:sz w:val="18"/>
        <w:szCs w:val="18"/>
      </w:rPr>
      <w:t xml:space="preserve">SRS v1.0 | Июнь 2026 | Конфиденциально    </w:t>
    </w: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i/>
        <w:iCs/>
        <w:color w:val="888888"/>
        <w:sz w:val="18"/>
        <w:szCs w:val="18"/>
      </w:rPr>
      <w:t xml:space="preserve">ООО «АЛИНА ФАРМА» | SRS — Система проверки макетов этикеток БАД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2026-06-04T12:59:19.410Z</dcterms:created>
  <dcterms:modified xsi:type="dcterms:W3CDTF">2026-06-04T12:59:19.412Z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