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Light" w:cs="Montserrat Light" w:eastAsia="Montserrat Light" w:hAnsi="Montserrat Light"/>
          <w:sz w:val="19"/>
          <w:szCs w:val="19"/>
        </w:rPr>
      </w:pPr>
      <w:r w:rsidDel="00000000" w:rsidR="00000000" w:rsidRPr="00000000">
        <w:rPr>
          <w:rFonts w:ascii="Montserrat" w:cs="Montserrat" w:eastAsia="Montserrat" w:hAnsi="Montserrat"/>
          <w:b w:val="1"/>
          <w:sz w:val="19"/>
          <w:szCs w:val="19"/>
          <w:rtl w:val="0"/>
        </w:rPr>
        <w:t xml:space="preserve">Timeline: </w:t>
      </w:r>
      <w:r w:rsidDel="00000000" w:rsidR="00000000" w:rsidRPr="00000000">
        <w:rPr>
          <w:rFonts w:ascii="Montserrat Light" w:cs="Montserrat Light" w:eastAsia="Montserrat Light" w:hAnsi="Montserrat Light"/>
          <w:sz w:val="19"/>
          <w:szCs w:val="19"/>
          <w:rtl w:val="0"/>
        </w:rPr>
        <w:t xml:space="preserve">The project will be segmented into three phases, with Phase 1 scheduled from November 10 - December 19, 2025. Target publication date is May 2026. </w:t>
      </w:r>
    </w:p>
    <w:p w:rsidR="00000000" w:rsidDel="00000000" w:rsidP="00000000" w:rsidRDefault="00000000" w:rsidRPr="00000000" w14:paraId="00000002">
      <w:pPr>
        <w:rPr>
          <w:rFonts w:ascii="Montserrat Light" w:cs="Montserrat Light" w:eastAsia="Montserrat Light" w:hAnsi="Montserrat Light"/>
          <w:sz w:val="19"/>
          <w:szCs w:val="19"/>
        </w:rPr>
      </w:pPr>
      <w:r w:rsidDel="00000000" w:rsidR="00000000" w:rsidRPr="00000000">
        <w:rPr>
          <w:rtl w:val="0"/>
        </w:rPr>
      </w:r>
    </w:p>
    <w:p w:rsidR="00000000" w:rsidDel="00000000" w:rsidP="00000000" w:rsidRDefault="00000000" w:rsidRPr="00000000" w14:paraId="00000003">
      <w:pPr>
        <w:rPr>
          <w:rFonts w:ascii="Montserrat Light" w:cs="Montserrat Light" w:eastAsia="Montserrat Light" w:hAnsi="Montserrat Light"/>
          <w:sz w:val="19"/>
          <w:szCs w:val="19"/>
        </w:rPr>
      </w:pPr>
      <w:r w:rsidDel="00000000" w:rsidR="00000000" w:rsidRPr="00000000">
        <w:rPr>
          <w:rFonts w:ascii="Montserrat" w:cs="Montserrat" w:eastAsia="Montserrat" w:hAnsi="Montserrat"/>
          <w:b w:val="1"/>
          <w:sz w:val="19"/>
          <w:szCs w:val="19"/>
          <w:rtl w:val="0"/>
        </w:rPr>
        <w:t xml:space="preserve">Support Needed: </w:t>
      </w:r>
      <w:r w:rsidDel="00000000" w:rsidR="00000000" w:rsidRPr="00000000">
        <w:rPr>
          <w:rFonts w:ascii="Montserrat Light" w:cs="Montserrat Light" w:eastAsia="Montserrat Light" w:hAnsi="Montserrat Light"/>
          <w:sz w:val="19"/>
          <w:szCs w:val="19"/>
          <w:rtl w:val="0"/>
        </w:rPr>
        <w:t xml:space="preserve">Trellis is seeking a paid, graduate student research fellow to aid in data collection and project scoping for Phase 1. This role requires a six-week commitment of 3 hours per week, with a pay rate of $50 per hour. </w:t>
      </w:r>
    </w:p>
    <w:p w:rsidR="00000000" w:rsidDel="00000000" w:rsidP="00000000" w:rsidRDefault="00000000" w:rsidRPr="00000000" w14:paraId="00000004">
      <w:pPr>
        <w:rPr>
          <w:rFonts w:ascii="Montserrat Light" w:cs="Montserrat Light" w:eastAsia="Montserrat Light" w:hAnsi="Montserrat Light"/>
          <w:sz w:val="19"/>
          <w:szCs w:val="19"/>
        </w:rPr>
      </w:pPr>
      <w:r w:rsidDel="00000000" w:rsidR="00000000" w:rsidRPr="00000000">
        <w:rPr>
          <w:rtl w:val="0"/>
        </w:rPr>
      </w:r>
    </w:p>
    <w:p w:rsidR="00000000" w:rsidDel="00000000" w:rsidP="00000000" w:rsidRDefault="00000000" w:rsidRPr="00000000" w14:paraId="00000005">
      <w:pPr>
        <w:rPr>
          <w:rFonts w:ascii="Montserrat Light" w:cs="Montserrat Light" w:eastAsia="Montserrat Light" w:hAnsi="Montserrat Light"/>
          <w:sz w:val="19"/>
          <w:szCs w:val="19"/>
        </w:rPr>
      </w:pPr>
      <w:r w:rsidDel="00000000" w:rsidR="00000000" w:rsidRPr="00000000">
        <w:rPr>
          <w:rFonts w:ascii="Montserrat" w:cs="Montserrat" w:eastAsia="Montserrat" w:hAnsi="Montserrat"/>
          <w:b w:val="1"/>
          <w:sz w:val="19"/>
          <w:szCs w:val="19"/>
          <w:rtl w:val="0"/>
        </w:rPr>
        <w:t xml:space="preserve">Deliverables: </w:t>
      </w:r>
      <w:r w:rsidDel="00000000" w:rsidR="00000000" w:rsidRPr="00000000">
        <w:rPr>
          <w:rFonts w:ascii="Montserrat Light" w:cs="Montserrat Light" w:eastAsia="Montserrat Light" w:hAnsi="Montserrat Light"/>
          <w:sz w:val="19"/>
          <w:szCs w:val="19"/>
          <w:rtl w:val="0"/>
        </w:rPr>
        <w:t xml:space="preserve">The final deliverable will be (i) an Excel spreadsheet with the </w:t>
      </w:r>
      <w:hyperlink r:id="rId7">
        <w:r w:rsidDel="00000000" w:rsidR="00000000" w:rsidRPr="00000000">
          <w:rPr>
            <w:rFonts w:ascii="Montserrat Light" w:cs="Montserrat Light" w:eastAsia="Montserrat Light" w:hAnsi="Montserrat Light"/>
            <w:color w:val="1155cc"/>
            <w:sz w:val="19"/>
            <w:szCs w:val="19"/>
            <w:u w:val="single"/>
            <w:rtl w:val="0"/>
          </w:rPr>
          <w:t xml:space="preserve">Phase 1 data requirements</w:t>
        </w:r>
      </w:hyperlink>
      <w:r w:rsidDel="00000000" w:rsidR="00000000" w:rsidRPr="00000000">
        <w:rPr>
          <w:rFonts w:ascii="Montserrat Light" w:cs="Montserrat Light" w:eastAsia="Montserrat Light" w:hAnsi="Montserrat Light"/>
          <w:sz w:val="19"/>
          <w:szCs w:val="19"/>
          <w:rtl w:val="0"/>
        </w:rPr>
        <w:t xml:space="preserve">, and (ii) a 1-2 page reflection on the findings and forward-looking scope implications.</w:t>
      </w:r>
    </w:p>
    <w:p w:rsidR="00000000" w:rsidDel="00000000" w:rsidP="00000000" w:rsidRDefault="00000000" w:rsidRPr="00000000" w14:paraId="00000006">
      <w:pPr>
        <w:rPr>
          <w:b w:val="1"/>
          <w:sz w:val="19"/>
          <w:szCs w:val="19"/>
        </w:rPr>
      </w:pPr>
      <w:r w:rsidDel="00000000" w:rsidR="00000000" w:rsidRPr="00000000">
        <w:rPr>
          <w:rtl w:val="0"/>
        </w:rPr>
      </w:r>
    </w:p>
    <w:p w:rsidR="00000000" w:rsidDel="00000000" w:rsidP="00000000" w:rsidRDefault="00000000" w:rsidRPr="00000000" w14:paraId="00000007">
      <w:pPr>
        <w:rPr>
          <w:rFonts w:ascii="Montserrat Light" w:cs="Montserrat Light" w:eastAsia="Montserrat Light" w:hAnsi="Montserrat Light"/>
          <w:sz w:val="19"/>
          <w:szCs w:val="19"/>
        </w:rPr>
      </w:pPr>
      <w:r w:rsidDel="00000000" w:rsidR="00000000" w:rsidRPr="00000000">
        <w:rPr>
          <w:rFonts w:ascii="Montserrat" w:cs="Montserrat" w:eastAsia="Montserrat" w:hAnsi="Montserrat"/>
          <w:b w:val="1"/>
          <w:sz w:val="19"/>
          <w:szCs w:val="19"/>
          <w:rtl w:val="0"/>
        </w:rPr>
        <w:t xml:space="preserve">Meeting Cadence: </w:t>
      </w:r>
      <w:r w:rsidDel="00000000" w:rsidR="00000000" w:rsidRPr="00000000">
        <w:rPr>
          <w:rFonts w:ascii="Montserrat Light" w:cs="Montserrat Light" w:eastAsia="Montserrat Light" w:hAnsi="Montserrat Light"/>
          <w:sz w:val="19"/>
          <w:szCs w:val="19"/>
          <w:rtl w:val="0"/>
        </w:rPr>
        <w:t xml:space="preserve">Every other week, on Wednesday at 8:30 am PT, starting the week of Nov 10. </w:t>
      </w:r>
    </w:p>
    <w:p w:rsidR="00000000" w:rsidDel="00000000" w:rsidP="00000000" w:rsidRDefault="00000000" w:rsidRPr="00000000" w14:paraId="00000008">
      <w:pPr>
        <w:rPr>
          <w:rFonts w:ascii="Montserrat Light" w:cs="Montserrat Light" w:eastAsia="Montserrat Light" w:hAnsi="Montserrat Light"/>
          <w:sz w:val="19"/>
          <w:szCs w:val="19"/>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b w:val="1"/>
          <w:sz w:val="19"/>
          <w:szCs w:val="19"/>
        </w:rPr>
      </w:pPr>
      <w:r w:rsidDel="00000000" w:rsidR="00000000" w:rsidRPr="00000000">
        <w:rPr>
          <w:rFonts w:ascii="Montserrat" w:cs="Montserrat" w:eastAsia="Montserrat" w:hAnsi="Montserrat"/>
          <w:b w:val="1"/>
          <w:sz w:val="19"/>
          <w:szCs w:val="19"/>
          <w:rtl w:val="0"/>
        </w:rPr>
        <w:t xml:space="preserve">Recommended Reading </w:t>
      </w:r>
      <w:r w:rsidDel="00000000" w:rsidR="00000000" w:rsidRPr="00000000">
        <w:rPr>
          <w:rFonts w:ascii="Montserrat Light" w:cs="Montserrat Light" w:eastAsia="Montserrat Light" w:hAnsi="Montserrat Light"/>
          <w:sz w:val="19"/>
          <w:szCs w:val="19"/>
          <w:rtl w:val="0"/>
        </w:rPr>
        <w:t xml:space="preserve">(ordered from most relevant to least)</w:t>
      </w:r>
      <w:r w:rsidDel="00000000" w:rsidR="00000000" w:rsidRPr="00000000">
        <w:rPr>
          <w:rFonts w:ascii="Montserrat" w:cs="Montserrat" w:eastAsia="Montserrat" w:hAnsi="Montserrat"/>
          <w:b w:val="1"/>
          <w:sz w:val="19"/>
          <w:szCs w:val="19"/>
          <w:rtl w:val="0"/>
        </w:rPr>
        <w:t xml:space="preserve">:</w:t>
      </w:r>
    </w:p>
    <w:p w:rsidR="00000000" w:rsidDel="00000000" w:rsidP="00000000" w:rsidRDefault="00000000" w:rsidRPr="00000000" w14:paraId="0000000A">
      <w:pPr>
        <w:numPr>
          <w:ilvl w:val="0"/>
          <w:numId w:val="4"/>
        </w:numPr>
        <w:ind w:left="720" w:hanging="360"/>
        <w:rPr>
          <w:rFonts w:ascii="Montserrat" w:cs="Montserrat" w:eastAsia="Montserrat" w:hAnsi="Montserrat"/>
          <w:sz w:val="19"/>
          <w:szCs w:val="19"/>
        </w:rPr>
      </w:pPr>
      <w:hyperlink r:id="rId8">
        <w:r w:rsidDel="00000000" w:rsidR="00000000" w:rsidRPr="00000000">
          <w:rPr>
            <w:rFonts w:ascii="Montserrat" w:cs="Montserrat" w:eastAsia="Montserrat" w:hAnsi="Montserrat"/>
            <w:color w:val="1155cc"/>
            <w:sz w:val="19"/>
            <w:szCs w:val="19"/>
            <w:u w:val="single"/>
            <w:rtl w:val="0"/>
          </w:rPr>
          <w:t xml:space="preserve">The New Venture Playbook: The Data Every Founder Needs To Know </w:t>
        </w:r>
      </w:hyperlink>
      <w:r w:rsidDel="00000000" w:rsidR="00000000" w:rsidRPr="00000000">
        <w:rPr>
          <w:rtl w:val="0"/>
        </w:rPr>
      </w:r>
    </w:p>
    <w:p w:rsidR="00000000" w:rsidDel="00000000" w:rsidP="00000000" w:rsidRDefault="00000000" w:rsidRPr="00000000" w14:paraId="0000000B">
      <w:pPr>
        <w:numPr>
          <w:ilvl w:val="0"/>
          <w:numId w:val="4"/>
        </w:numPr>
        <w:ind w:left="720" w:hanging="360"/>
        <w:rPr>
          <w:rFonts w:ascii="Montserrat" w:cs="Montserrat" w:eastAsia="Montserrat" w:hAnsi="Montserrat"/>
          <w:sz w:val="19"/>
          <w:szCs w:val="19"/>
        </w:rPr>
      </w:pPr>
      <w:hyperlink r:id="rId9">
        <w:r w:rsidDel="00000000" w:rsidR="00000000" w:rsidRPr="00000000">
          <w:rPr>
            <w:rFonts w:ascii="Montserrat" w:cs="Montserrat" w:eastAsia="Montserrat" w:hAnsi="Montserrat"/>
            <w:color w:val="1155cc"/>
            <w:sz w:val="19"/>
            <w:szCs w:val="19"/>
            <w:u w:val="single"/>
            <w:rtl w:val="0"/>
          </w:rPr>
          <w:t xml:space="preserve">Bridge Financing: When VCs Throw Good Money After Bad Companies </w:t>
        </w:r>
      </w:hyperlink>
      <w:r w:rsidDel="00000000" w:rsidR="00000000" w:rsidRPr="00000000">
        <w:rPr>
          <w:rtl w:val="0"/>
        </w:rPr>
      </w:r>
    </w:p>
    <w:p w:rsidR="00000000" w:rsidDel="00000000" w:rsidP="00000000" w:rsidRDefault="00000000" w:rsidRPr="00000000" w14:paraId="0000000C">
      <w:pPr>
        <w:numPr>
          <w:ilvl w:val="0"/>
          <w:numId w:val="4"/>
        </w:numPr>
        <w:ind w:left="720" w:hanging="360"/>
        <w:rPr>
          <w:rFonts w:ascii="Montserrat" w:cs="Montserrat" w:eastAsia="Montserrat" w:hAnsi="Montserrat"/>
          <w:sz w:val="19"/>
          <w:szCs w:val="19"/>
        </w:rPr>
      </w:pPr>
      <w:hyperlink r:id="rId10">
        <w:r w:rsidDel="00000000" w:rsidR="00000000" w:rsidRPr="00000000">
          <w:rPr>
            <w:rFonts w:ascii="Montserrat" w:cs="Montserrat" w:eastAsia="Montserrat" w:hAnsi="Montserrat"/>
            <w:color w:val="1155cc"/>
            <w:sz w:val="19"/>
            <w:szCs w:val="19"/>
            <w:u w:val="single"/>
            <w:rtl w:val="0"/>
          </w:rPr>
          <w:t xml:space="preserve">Bridge rounds: A sign of trouble or a smart financing solution in 2025?</w:t>
        </w:r>
      </w:hyperlink>
      <w:r w:rsidDel="00000000" w:rsidR="00000000" w:rsidRPr="00000000">
        <w:rPr>
          <w:rtl w:val="0"/>
        </w:rPr>
      </w:r>
    </w:p>
    <w:p w:rsidR="00000000" w:rsidDel="00000000" w:rsidP="00000000" w:rsidRDefault="00000000" w:rsidRPr="00000000" w14:paraId="0000000D">
      <w:pPr>
        <w:numPr>
          <w:ilvl w:val="0"/>
          <w:numId w:val="4"/>
        </w:numPr>
        <w:ind w:left="720" w:hanging="360"/>
        <w:rPr>
          <w:rFonts w:ascii="Montserrat" w:cs="Montserrat" w:eastAsia="Montserrat" w:hAnsi="Montserrat"/>
          <w:sz w:val="19"/>
          <w:szCs w:val="19"/>
        </w:rPr>
      </w:pPr>
      <w:hyperlink r:id="rId11">
        <w:r w:rsidDel="00000000" w:rsidR="00000000" w:rsidRPr="00000000">
          <w:rPr>
            <w:rFonts w:ascii="Montserrat" w:cs="Montserrat" w:eastAsia="Montserrat" w:hAnsi="Montserrat"/>
            <w:color w:val="1155cc"/>
            <w:sz w:val="19"/>
            <w:szCs w:val="19"/>
            <w:u w:val="single"/>
            <w:rtl w:val="0"/>
          </w:rPr>
          <w:t xml:space="preserve">Venture Debt as Bridge Financing</w:t>
        </w:r>
      </w:hyperlink>
      <w:r w:rsidDel="00000000" w:rsidR="00000000" w:rsidRPr="00000000">
        <w:rPr>
          <w:rtl w:val="0"/>
        </w:rPr>
      </w:r>
    </w:p>
    <w:p w:rsidR="00000000" w:rsidDel="00000000" w:rsidP="00000000" w:rsidRDefault="00000000" w:rsidRPr="00000000" w14:paraId="0000000E">
      <w:pPr>
        <w:numPr>
          <w:ilvl w:val="0"/>
          <w:numId w:val="4"/>
        </w:numPr>
        <w:ind w:left="720" w:hanging="360"/>
        <w:rPr>
          <w:rFonts w:ascii="Montserrat" w:cs="Montserrat" w:eastAsia="Montserrat" w:hAnsi="Montserrat"/>
          <w:sz w:val="19"/>
          <w:szCs w:val="19"/>
        </w:rPr>
      </w:pPr>
      <w:hyperlink r:id="rId12">
        <w:r w:rsidDel="00000000" w:rsidR="00000000" w:rsidRPr="00000000">
          <w:rPr>
            <w:rFonts w:ascii="Montserrat" w:cs="Montserrat" w:eastAsia="Montserrat" w:hAnsi="Montserrat"/>
            <w:color w:val="1155cc"/>
            <w:sz w:val="19"/>
            <w:szCs w:val="19"/>
            <w:u w:val="single"/>
            <w:rtl w:val="0"/>
          </w:rPr>
          <w:t xml:space="preserve">The Truth About Bridge Rounds: Do They Help or Hurt Startup Survival?</w:t>
        </w:r>
      </w:hyperlink>
      <w:r w:rsidDel="00000000" w:rsidR="00000000" w:rsidRPr="00000000">
        <w:rPr>
          <w:rtl w:val="0"/>
        </w:rPr>
      </w:r>
    </w:p>
    <w:p w:rsidR="00000000" w:rsidDel="00000000" w:rsidP="00000000" w:rsidRDefault="00000000" w:rsidRPr="00000000" w14:paraId="0000000F">
      <w:pPr>
        <w:numPr>
          <w:ilvl w:val="0"/>
          <w:numId w:val="4"/>
        </w:numPr>
        <w:ind w:left="720" w:hanging="360"/>
        <w:rPr>
          <w:rFonts w:ascii="Montserrat" w:cs="Montserrat" w:eastAsia="Montserrat" w:hAnsi="Montserrat"/>
          <w:sz w:val="19"/>
          <w:szCs w:val="19"/>
        </w:rPr>
      </w:pPr>
      <w:hyperlink r:id="rId13">
        <w:r w:rsidDel="00000000" w:rsidR="00000000" w:rsidRPr="00000000">
          <w:rPr>
            <w:rFonts w:ascii="Montserrat" w:cs="Montserrat" w:eastAsia="Montserrat" w:hAnsi="Montserrat"/>
            <w:color w:val="1155cc"/>
            <w:sz w:val="19"/>
            <w:szCs w:val="19"/>
            <w:u w:val="single"/>
            <w:rtl w:val="0"/>
          </w:rPr>
          <w:t xml:space="preserve">Carta, Bridge Rounds 2024 </w:t>
        </w:r>
      </w:hyperlink>
      <w:r w:rsidDel="00000000" w:rsidR="00000000" w:rsidRPr="00000000">
        <w:rPr>
          <w:rtl w:val="0"/>
        </w:rPr>
      </w:r>
    </w:p>
    <w:p w:rsidR="00000000" w:rsidDel="00000000" w:rsidP="00000000" w:rsidRDefault="00000000" w:rsidRPr="00000000" w14:paraId="00000010">
      <w:pPr>
        <w:numPr>
          <w:ilvl w:val="0"/>
          <w:numId w:val="4"/>
        </w:numPr>
        <w:ind w:left="720" w:hanging="360"/>
        <w:rPr>
          <w:rFonts w:ascii="Montserrat" w:cs="Montserrat" w:eastAsia="Montserrat" w:hAnsi="Montserrat"/>
          <w:sz w:val="19"/>
          <w:szCs w:val="19"/>
        </w:rPr>
      </w:pPr>
      <w:hyperlink r:id="rId14">
        <w:r w:rsidDel="00000000" w:rsidR="00000000" w:rsidRPr="00000000">
          <w:rPr>
            <w:rFonts w:ascii="Montserrat" w:cs="Montserrat" w:eastAsia="Montserrat" w:hAnsi="Montserrat"/>
            <w:color w:val="1155cc"/>
            <w:sz w:val="19"/>
            <w:szCs w:val="19"/>
            <w:u w:val="single"/>
            <w:rtl w:val="0"/>
          </w:rPr>
          <w:t xml:space="preserve">Carta, State of Private Markets Q1 ‘25 </w:t>
        </w:r>
      </w:hyperlink>
      <w:r w:rsidDel="00000000" w:rsidR="00000000" w:rsidRPr="00000000">
        <w:rPr>
          <w:rtl w:val="0"/>
        </w:rPr>
      </w:r>
    </w:p>
    <w:p w:rsidR="00000000" w:rsidDel="00000000" w:rsidP="00000000" w:rsidRDefault="00000000" w:rsidRPr="00000000" w14:paraId="00000011">
      <w:pPr>
        <w:numPr>
          <w:ilvl w:val="0"/>
          <w:numId w:val="4"/>
        </w:numPr>
        <w:ind w:left="720" w:hanging="360"/>
        <w:rPr>
          <w:rFonts w:ascii="Montserrat" w:cs="Montserrat" w:eastAsia="Montserrat" w:hAnsi="Montserrat"/>
          <w:sz w:val="19"/>
          <w:szCs w:val="19"/>
        </w:rPr>
      </w:pPr>
      <w:hyperlink r:id="rId15">
        <w:r w:rsidDel="00000000" w:rsidR="00000000" w:rsidRPr="00000000">
          <w:rPr>
            <w:rFonts w:ascii="Montserrat" w:cs="Montserrat" w:eastAsia="Montserrat" w:hAnsi="Montserrat"/>
            <w:color w:val="1155cc"/>
            <w:sz w:val="19"/>
            <w:szCs w:val="19"/>
            <w:u w:val="single"/>
            <w:rtl w:val="0"/>
          </w:rPr>
          <w:t xml:space="preserve">Carta, State of Private Markets Q2 ‘25</w:t>
        </w:r>
      </w:hyperlink>
      <w:r w:rsidDel="00000000" w:rsidR="00000000" w:rsidRPr="00000000">
        <w:rPr>
          <w:rtl w:val="0"/>
        </w:rPr>
      </w:r>
    </w:p>
    <w:p w:rsidR="00000000" w:rsidDel="00000000" w:rsidP="00000000" w:rsidRDefault="00000000" w:rsidRPr="00000000" w14:paraId="00000012">
      <w:pPr>
        <w:numPr>
          <w:ilvl w:val="0"/>
          <w:numId w:val="4"/>
        </w:numPr>
        <w:ind w:left="720" w:hanging="360"/>
        <w:rPr>
          <w:rFonts w:ascii="Montserrat" w:cs="Montserrat" w:eastAsia="Montserrat" w:hAnsi="Montserrat"/>
          <w:sz w:val="19"/>
          <w:szCs w:val="19"/>
        </w:rPr>
      </w:pPr>
      <w:hyperlink r:id="rId16">
        <w:r w:rsidDel="00000000" w:rsidR="00000000" w:rsidRPr="00000000">
          <w:rPr>
            <w:rFonts w:ascii="Montserrat" w:cs="Montserrat" w:eastAsia="Montserrat" w:hAnsi="Montserrat"/>
            <w:color w:val="1155cc"/>
            <w:sz w:val="19"/>
            <w:szCs w:val="19"/>
            <w:u w:val="single"/>
            <w:rtl w:val="0"/>
          </w:rPr>
          <w:t xml:space="preserve">Carta, Compared to a year ago, more VC cash is going to bridge rounds</w:t>
        </w:r>
      </w:hyperlink>
      <w:r w:rsidDel="00000000" w:rsidR="00000000" w:rsidRPr="00000000">
        <w:rPr>
          <w:rFonts w:ascii="Montserrat" w:cs="Montserrat" w:eastAsia="Montserrat" w:hAnsi="Montserrat"/>
          <w:color w:val="1155cc"/>
          <w:sz w:val="19"/>
          <w:szCs w:val="19"/>
          <w:u w:val="single"/>
          <w:rtl w:val="0"/>
        </w:rPr>
        <w:t xml:space="preserve"> Q3 ‘25</w:t>
      </w:r>
    </w:p>
    <w:p w:rsidR="00000000" w:rsidDel="00000000" w:rsidP="00000000" w:rsidRDefault="00000000" w:rsidRPr="00000000" w14:paraId="00000013">
      <w:pPr>
        <w:numPr>
          <w:ilvl w:val="0"/>
          <w:numId w:val="4"/>
        </w:numPr>
        <w:ind w:left="720" w:hanging="360"/>
        <w:rPr>
          <w:rFonts w:ascii="Montserrat" w:cs="Montserrat" w:eastAsia="Montserrat" w:hAnsi="Montserrat"/>
          <w:sz w:val="19"/>
          <w:szCs w:val="19"/>
        </w:rPr>
      </w:pPr>
      <w:hyperlink r:id="rId17">
        <w:r w:rsidDel="00000000" w:rsidR="00000000" w:rsidRPr="00000000">
          <w:rPr>
            <w:rFonts w:ascii="Montserrat" w:cs="Montserrat" w:eastAsia="Montserrat" w:hAnsi="Montserrat"/>
            <w:color w:val="1155cc"/>
            <w:sz w:val="19"/>
            <w:szCs w:val="19"/>
            <w:u w:val="single"/>
            <w:rtl w:val="0"/>
          </w:rPr>
          <w:t xml:space="preserve">Carta, ‘Quantity is down, and quality is up’: The new state of Series A fundraising Q3 ‘25</w:t>
        </w:r>
      </w:hyperlink>
      <w:r w:rsidDel="00000000" w:rsidR="00000000" w:rsidRPr="00000000">
        <w:rPr>
          <w:rtl w:val="0"/>
        </w:rPr>
      </w:r>
    </w:p>
    <w:p w:rsidR="00000000" w:rsidDel="00000000" w:rsidP="00000000" w:rsidRDefault="00000000" w:rsidRPr="00000000" w14:paraId="00000014">
      <w:pPr>
        <w:numPr>
          <w:ilvl w:val="0"/>
          <w:numId w:val="4"/>
        </w:numPr>
        <w:ind w:left="720" w:hanging="360"/>
        <w:rPr>
          <w:rFonts w:ascii="Montserrat" w:cs="Montserrat" w:eastAsia="Montserrat" w:hAnsi="Montserrat"/>
          <w:sz w:val="19"/>
          <w:szCs w:val="19"/>
        </w:rPr>
      </w:pPr>
      <w:hyperlink r:id="rId18">
        <w:r w:rsidDel="00000000" w:rsidR="00000000" w:rsidRPr="00000000">
          <w:rPr>
            <w:rFonts w:ascii="Montserrat" w:cs="Montserrat" w:eastAsia="Montserrat" w:hAnsi="Montserrat"/>
            <w:color w:val="1155cc"/>
            <w:sz w:val="19"/>
            <w:szCs w:val="19"/>
            <w:u w:val="single"/>
            <w:rtl w:val="0"/>
          </w:rPr>
          <w:t xml:space="preserve">How Bringing Data into Climate Tech Can Spur Exits &amp; Catalyze New Investment Dollars for FOAK, Just As It Did in Biotech</w:t>
        </w:r>
      </w:hyperlink>
      <w:r w:rsidDel="00000000" w:rsidR="00000000" w:rsidRPr="00000000">
        <w:rPr>
          <w:rtl w:val="0"/>
        </w:rPr>
      </w:r>
    </w:p>
    <w:p w:rsidR="00000000" w:rsidDel="00000000" w:rsidP="00000000" w:rsidRDefault="00000000" w:rsidRPr="00000000" w14:paraId="00000015">
      <w:pPr>
        <w:numPr>
          <w:ilvl w:val="0"/>
          <w:numId w:val="4"/>
        </w:numPr>
        <w:ind w:left="720" w:hanging="360"/>
        <w:rPr>
          <w:rFonts w:ascii="Montserrat" w:cs="Montserrat" w:eastAsia="Montserrat" w:hAnsi="Montserrat"/>
          <w:sz w:val="19"/>
          <w:szCs w:val="19"/>
        </w:rPr>
      </w:pPr>
      <w:hyperlink r:id="rId19">
        <w:r w:rsidDel="00000000" w:rsidR="00000000" w:rsidRPr="00000000">
          <w:rPr>
            <w:rFonts w:ascii="Montserrat" w:cs="Montserrat" w:eastAsia="Montserrat" w:hAnsi="Montserrat"/>
            <w:color w:val="1155cc"/>
            <w:sz w:val="19"/>
            <w:szCs w:val="19"/>
            <w:u w:val="single"/>
            <w:rtl w:val="0"/>
          </w:rPr>
          <w:t xml:space="preserve">HSBC / Sightline Capital: 2024 Capital Stack Report</w:t>
        </w:r>
      </w:hyperlink>
      <w:r w:rsidDel="00000000" w:rsidR="00000000" w:rsidRPr="00000000">
        <w:rPr>
          <w:rtl w:val="0"/>
        </w:rPr>
      </w:r>
    </w:p>
    <w:p w:rsidR="00000000" w:rsidDel="00000000" w:rsidP="00000000" w:rsidRDefault="00000000" w:rsidRPr="00000000" w14:paraId="00000016">
      <w:pPr>
        <w:numPr>
          <w:ilvl w:val="0"/>
          <w:numId w:val="4"/>
        </w:numPr>
        <w:ind w:left="720" w:hanging="360"/>
        <w:rPr>
          <w:rFonts w:ascii="Montserrat" w:cs="Montserrat" w:eastAsia="Montserrat" w:hAnsi="Montserrat"/>
          <w:sz w:val="19"/>
          <w:szCs w:val="19"/>
        </w:rPr>
      </w:pPr>
      <w:hyperlink r:id="rId20">
        <w:r w:rsidDel="00000000" w:rsidR="00000000" w:rsidRPr="00000000">
          <w:rPr>
            <w:rFonts w:ascii="Montserrat" w:cs="Montserrat" w:eastAsia="Montserrat" w:hAnsi="Montserrat"/>
            <w:color w:val="1155cc"/>
            <w:sz w:val="19"/>
            <w:szCs w:val="19"/>
            <w:u w:val="single"/>
            <w:rtl w:val="0"/>
          </w:rPr>
          <w:t xml:space="preserve">A Return to Hard Tech</w:t>
        </w:r>
      </w:hyperlink>
      <w:r w:rsidDel="00000000" w:rsidR="00000000" w:rsidRPr="00000000">
        <w:rPr>
          <w:rtl w:val="0"/>
        </w:rPr>
      </w:r>
    </w:p>
    <w:p w:rsidR="00000000" w:rsidDel="00000000" w:rsidP="00000000" w:rsidRDefault="00000000" w:rsidRPr="00000000" w14:paraId="00000017">
      <w:pPr>
        <w:rPr>
          <w:rFonts w:ascii="Montserrat" w:cs="Montserrat" w:eastAsia="Montserrat" w:hAnsi="Montserrat"/>
          <w:sz w:val="19"/>
          <w:szCs w:val="19"/>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sz w:val="19"/>
          <w:szCs w:val="19"/>
        </w:rPr>
      </w:pPr>
      <w:r w:rsidDel="00000000" w:rsidR="00000000" w:rsidRPr="00000000">
        <w:rPr>
          <w:rFonts w:ascii="Montserrat" w:cs="Montserrat" w:eastAsia="Montserrat" w:hAnsi="Montserrat"/>
          <w:b w:val="1"/>
          <w:sz w:val="19"/>
          <w:szCs w:val="19"/>
          <w:rtl w:val="0"/>
        </w:rPr>
        <w:t xml:space="preserve">Relevant Research Examples: </w:t>
      </w:r>
      <w:r w:rsidDel="00000000" w:rsidR="00000000" w:rsidRPr="00000000">
        <w:rPr>
          <w:rFonts w:ascii="Montserrat" w:cs="Montserrat" w:eastAsia="Montserrat" w:hAnsi="Montserrat"/>
          <w:sz w:val="19"/>
          <w:szCs w:val="19"/>
          <w:rtl w:val="0"/>
        </w:rPr>
        <w:t xml:space="preserve">The following reports focus on how to construct a FOAK capital stack. While not necessarily directly relevant to bridge financing, they may help us differentiate between “successful” and “unsuccessful” financing strategies more broadly. </w:t>
      </w:r>
    </w:p>
    <w:p w:rsidR="00000000" w:rsidDel="00000000" w:rsidP="00000000" w:rsidRDefault="00000000" w:rsidRPr="00000000" w14:paraId="00000019">
      <w:pPr>
        <w:numPr>
          <w:ilvl w:val="0"/>
          <w:numId w:val="1"/>
        </w:numPr>
        <w:ind w:left="720" w:hanging="360"/>
        <w:rPr>
          <w:rFonts w:ascii="Montserrat" w:cs="Montserrat" w:eastAsia="Montserrat" w:hAnsi="Montserrat"/>
          <w:sz w:val="19"/>
          <w:szCs w:val="19"/>
        </w:rPr>
      </w:pPr>
      <w:hyperlink r:id="rId21">
        <w:r w:rsidDel="00000000" w:rsidR="00000000" w:rsidRPr="00000000">
          <w:rPr>
            <w:rFonts w:ascii="Montserrat" w:cs="Montserrat" w:eastAsia="Montserrat" w:hAnsi="Montserrat"/>
            <w:color w:val="1155cc"/>
            <w:sz w:val="19"/>
            <w:szCs w:val="19"/>
            <w:u w:val="single"/>
            <w:rtl w:val="0"/>
          </w:rPr>
          <w:t xml:space="preserve">FOAK Case Studies</w:t>
        </w:r>
      </w:hyperlink>
      <w:r w:rsidDel="00000000" w:rsidR="00000000" w:rsidRPr="00000000">
        <w:rPr>
          <w:rFonts w:ascii="Montserrat" w:cs="Montserrat" w:eastAsia="Montserrat" w:hAnsi="Montserrat"/>
          <w:sz w:val="19"/>
          <w:szCs w:val="19"/>
          <w:rtl w:val="0"/>
        </w:rPr>
        <w:t xml:space="preserve">, DOE</w:t>
      </w:r>
      <w:r w:rsidDel="00000000" w:rsidR="00000000" w:rsidRPr="00000000">
        <w:rPr>
          <w:rtl w:val="0"/>
        </w:rPr>
      </w:r>
    </w:p>
    <w:p w:rsidR="00000000" w:rsidDel="00000000" w:rsidP="00000000" w:rsidRDefault="00000000" w:rsidRPr="00000000" w14:paraId="0000001A">
      <w:pPr>
        <w:numPr>
          <w:ilvl w:val="0"/>
          <w:numId w:val="1"/>
        </w:numPr>
        <w:ind w:left="720" w:hanging="360"/>
        <w:rPr>
          <w:rFonts w:ascii="Montserrat" w:cs="Montserrat" w:eastAsia="Montserrat" w:hAnsi="Montserrat"/>
          <w:sz w:val="19"/>
          <w:szCs w:val="19"/>
        </w:rPr>
      </w:pPr>
      <w:hyperlink r:id="rId22">
        <w:r w:rsidDel="00000000" w:rsidR="00000000" w:rsidRPr="00000000">
          <w:rPr>
            <w:rFonts w:ascii="Montserrat" w:cs="Montserrat" w:eastAsia="Montserrat" w:hAnsi="Montserrat"/>
            <w:color w:val="1155cc"/>
            <w:sz w:val="19"/>
            <w:szCs w:val="19"/>
            <w:u w:val="single"/>
            <w:rtl w:val="0"/>
          </w:rPr>
          <w:t xml:space="preserve">10 First Commercial Facilities &amp; How They Got Funded</w:t>
        </w:r>
      </w:hyperlink>
      <w:r w:rsidDel="00000000" w:rsidR="00000000" w:rsidRPr="00000000">
        <w:rPr>
          <w:rFonts w:ascii="Montserrat" w:cs="Montserrat" w:eastAsia="Montserrat" w:hAnsi="Montserrat"/>
          <w:sz w:val="19"/>
          <w:szCs w:val="19"/>
          <w:rtl w:val="0"/>
        </w:rPr>
        <w:t xml:space="preserve">, Deanna Zhang</w:t>
      </w:r>
    </w:p>
    <w:p w:rsidR="00000000" w:rsidDel="00000000" w:rsidP="00000000" w:rsidRDefault="00000000" w:rsidRPr="00000000" w14:paraId="0000001B">
      <w:pPr>
        <w:numPr>
          <w:ilvl w:val="0"/>
          <w:numId w:val="1"/>
        </w:numPr>
        <w:ind w:left="720" w:hanging="360"/>
        <w:rPr>
          <w:rFonts w:ascii="Montserrat" w:cs="Montserrat" w:eastAsia="Montserrat" w:hAnsi="Montserrat"/>
          <w:sz w:val="19"/>
          <w:szCs w:val="19"/>
        </w:rPr>
      </w:pPr>
      <w:hyperlink r:id="rId23">
        <w:r w:rsidDel="00000000" w:rsidR="00000000" w:rsidRPr="00000000">
          <w:rPr>
            <w:rFonts w:ascii="Montserrat" w:cs="Montserrat" w:eastAsia="Montserrat" w:hAnsi="Montserrat"/>
            <w:color w:val="1155cc"/>
            <w:sz w:val="19"/>
            <w:szCs w:val="19"/>
            <w:u w:val="single"/>
            <w:rtl w:val="0"/>
          </w:rPr>
          <w:t xml:space="preserve">Gigascaling</w:t>
        </w:r>
      </w:hyperlink>
      <w:r w:rsidDel="00000000" w:rsidR="00000000" w:rsidRPr="00000000">
        <w:rPr>
          <w:rFonts w:ascii="Montserrat" w:cs="Montserrat" w:eastAsia="Montserrat" w:hAnsi="Montserrat"/>
          <w:sz w:val="19"/>
          <w:szCs w:val="19"/>
          <w:rtl w:val="0"/>
        </w:rPr>
        <w:t xml:space="preserve">, Climate Brick</w:t>
      </w:r>
    </w:p>
    <w:p w:rsidR="00000000" w:rsidDel="00000000" w:rsidP="00000000" w:rsidRDefault="00000000" w:rsidRPr="00000000" w14:paraId="0000001C">
      <w:pPr>
        <w:numPr>
          <w:ilvl w:val="0"/>
          <w:numId w:val="1"/>
        </w:numPr>
        <w:ind w:left="720" w:hanging="360"/>
        <w:rPr>
          <w:rFonts w:ascii="Montserrat" w:cs="Montserrat" w:eastAsia="Montserrat" w:hAnsi="Montserrat"/>
          <w:sz w:val="19"/>
          <w:szCs w:val="19"/>
        </w:rPr>
      </w:pPr>
      <w:hyperlink r:id="rId24">
        <w:r w:rsidDel="00000000" w:rsidR="00000000" w:rsidRPr="00000000">
          <w:rPr>
            <w:rFonts w:ascii="Montserrat" w:cs="Montserrat" w:eastAsia="Montserrat" w:hAnsi="Montserrat"/>
            <w:color w:val="1155cc"/>
            <w:sz w:val="19"/>
            <w:szCs w:val="19"/>
            <w:u w:val="single"/>
            <w:rtl w:val="0"/>
          </w:rPr>
          <w:t xml:space="preserve">Climate Tech Exits</w:t>
        </w:r>
      </w:hyperlink>
      <w:r w:rsidDel="00000000" w:rsidR="00000000" w:rsidRPr="00000000">
        <w:rPr>
          <w:rFonts w:ascii="Montserrat" w:cs="Montserrat" w:eastAsia="Montserrat" w:hAnsi="Montserrat"/>
          <w:sz w:val="19"/>
          <w:szCs w:val="19"/>
          <w:rtl w:val="0"/>
        </w:rPr>
        <w:t xml:space="preserve">, Third Sphere</w:t>
      </w:r>
    </w:p>
    <w:p w:rsidR="00000000" w:rsidDel="00000000" w:rsidP="00000000" w:rsidRDefault="00000000" w:rsidRPr="00000000" w14:paraId="0000001D">
      <w:pPr>
        <w:rPr>
          <w:rFonts w:ascii="Montserrat" w:cs="Montserrat" w:eastAsia="Montserrat" w:hAnsi="Montserrat"/>
          <w:sz w:val="19"/>
          <w:szCs w:val="19"/>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b w:val="1"/>
          <w:sz w:val="19"/>
          <w:szCs w:val="19"/>
        </w:rPr>
      </w:pPr>
      <w:commentRangeStart w:id="0"/>
      <w:commentRangeStart w:id="1"/>
      <w:commentRangeStart w:id="2"/>
      <w:r w:rsidDel="00000000" w:rsidR="00000000" w:rsidRPr="00000000">
        <w:rPr>
          <w:rFonts w:ascii="Montserrat" w:cs="Montserrat" w:eastAsia="Montserrat" w:hAnsi="Montserrat"/>
          <w:b w:val="1"/>
          <w:sz w:val="19"/>
          <w:szCs w:val="19"/>
          <w:rtl w:val="0"/>
        </w:rPr>
        <w:t xml:space="preserve">Recent Bridge Round Examples: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F">
      <w:pPr>
        <w:numPr>
          <w:ilvl w:val="0"/>
          <w:numId w:val="2"/>
        </w:numPr>
        <w:ind w:left="72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Eion: $3M series A extension in Sept ‘24</w:t>
      </w:r>
    </w:p>
    <w:p w:rsidR="00000000" w:rsidDel="00000000" w:rsidP="00000000" w:rsidRDefault="00000000" w:rsidRPr="00000000" w14:paraId="00000020">
      <w:pPr>
        <w:numPr>
          <w:ilvl w:val="0"/>
          <w:numId w:val="2"/>
        </w:numPr>
        <w:ind w:left="72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Fervo: $100M bridge loan for first phase of Utah project in Sept ‘24</w:t>
      </w:r>
    </w:p>
    <w:p w:rsidR="00000000" w:rsidDel="00000000" w:rsidP="00000000" w:rsidRDefault="00000000" w:rsidRPr="00000000" w14:paraId="00000021">
      <w:pPr>
        <w:numPr>
          <w:ilvl w:val="0"/>
          <w:numId w:val="2"/>
        </w:numPr>
        <w:ind w:left="72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Quaise Energy: $21M Series A1 in Mar ‘24</w:t>
      </w:r>
    </w:p>
    <w:p w:rsidR="00000000" w:rsidDel="00000000" w:rsidP="00000000" w:rsidRDefault="00000000" w:rsidRPr="00000000" w14:paraId="00000022">
      <w:pPr>
        <w:numPr>
          <w:ilvl w:val="0"/>
          <w:numId w:val="2"/>
        </w:numPr>
        <w:ind w:left="72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Twelve SAF: $85M Series C extension in Apr ‘25</w:t>
      </w:r>
    </w:p>
    <w:p w:rsidR="00000000" w:rsidDel="00000000" w:rsidP="00000000" w:rsidRDefault="00000000" w:rsidRPr="00000000" w14:paraId="00000023">
      <w:pPr>
        <w:numPr>
          <w:ilvl w:val="0"/>
          <w:numId w:val="2"/>
        </w:numPr>
        <w:ind w:left="72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Energy Dome: $11M Series A extension in Jun ‘22</w:t>
      </w:r>
    </w:p>
    <w:p w:rsidR="00000000" w:rsidDel="00000000" w:rsidP="00000000" w:rsidRDefault="00000000" w:rsidRPr="00000000" w14:paraId="00000024">
      <w:pPr>
        <w:numPr>
          <w:ilvl w:val="0"/>
          <w:numId w:val="2"/>
        </w:numPr>
        <w:ind w:left="72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Nitricity: $10M, pre-B, project funding in Mar ‘25</w:t>
      </w:r>
    </w:p>
    <w:p w:rsidR="00000000" w:rsidDel="00000000" w:rsidP="00000000" w:rsidRDefault="00000000" w:rsidRPr="00000000" w14:paraId="00000025">
      <w:pPr>
        <w:numPr>
          <w:ilvl w:val="0"/>
          <w:numId w:val="2"/>
        </w:numPr>
        <w:ind w:left="72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XGS: </w:t>
      </w:r>
      <w:hyperlink r:id="rId25">
        <w:r w:rsidDel="00000000" w:rsidR="00000000" w:rsidRPr="00000000">
          <w:rPr>
            <w:rFonts w:ascii="Montserrat" w:cs="Montserrat" w:eastAsia="Montserrat" w:hAnsi="Montserrat"/>
            <w:color w:val="1155cc"/>
            <w:sz w:val="19"/>
            <w:szCs w:val="19"/>
            <w:u w:val="single"/>
            <w:rtl w:val="0"/>
          </w:rPr>
          <w:t xml:space="preserve">$13M</w:t>
        </w:r>
      </w:hyperlink>
      <w:r w:rsidDel="00000000" w:rsidR="00000000" w:rsidRPr="00000000">
        <w:rPr>
          <w:rFonts w:ascii="Montserrat" w:cs="Montserrat" w:eastAsia="Montserrat" w:hAnsi="Montserrat"/>
          <w:sz w:val="19"/>
          <w:szCs w:val="19"/>
          <w:rtl w:val="0"/>
        </w:rPr>
        <w:t xml:space="preserve">, </w:t>
      </w:r>
      <w:hyperlink r:id="rId26">
        <w:r w:rsidDel="00000000" w:rsidR="00000000" w:rsidRPr="00000000">
          <w:rPr>
            <w:rFonts w:ascii="Montserrat" w:cs="Montserrat" w:eastAsia="Montserrat" w:hAnsi="Montserrat"/>
            <w:color w:val="1155cc"/>
            <w:sz w:val="19"/>
            <w:szCs w:val="19"/>
            <w:u w:val="single"/>
            <w:rtl w:val="0"/>
          </w:rPr>
          <w:t xml:space="preserve">$9.7M, and $20M</w:t>
        </w:r>
      </w:hyperlink>
      <w:r w:rsidDel="00000000" w:rsidR="00000000" w:rsidRPr="00000000">
        <w:rPr>
          <w:rFonts w:ascii="Montserrat" w:cs="Montserrat" w:eastAsia="Montserrat" w:hAnsi="Montserrat"/>
          <w:sz w:val="19"/>
          <w:szCs w:val="19"/>
          <w:rtl w:val="0"/>
        </w:rPr>
        <w:t xml:space="preserve"> post-’23 Series A</w:t>
      </w:r>
    </w:p>
    <w:p w:rsidR="00000000" w:rsidDel="00000000" w:rsidP="00000000" w:rsidRDefault="00000000" w:rsidRPr="00000000" w14:paraId="00000026">
      <w:pPr>
        <w:rPr>
          <w:rFonts w:ascii="Montserrat" w:cs="Montserrat" w:eastAsia="Montserrat" w:hAnsi="Montserrat"/>
          <w:sz w:val="19"/>
          <w:szCs w:val="19"/>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sz w:val="19"/>
          <w:szCs w:val="19"/>
        </w:rPr>
      </w:pPr>
      <w:r w:rsidDel="00000000" w:rsidR="00000000" w:rsidRPr="00000000">
        <w:rPr>
          <w:rFonts w:ascii="Montserrat" w:cs="Montserrat" w:eastAsia="Montserrat" w:hAnsi="Montserrat"/>
          <w:b w:val="1"/>
          <w:sz w:val="19"/>
          <w:szCs w:val="19"/>
          <w:rtl w:val="0"/>
        </w:rPr>
        <w:t xml:space="preserve">Working Definition of Bridge Financing: </w:t>
      </w:r>
      <w:r w:rsidDel="00000000" w:rsidR="00000000" w:rsidRPr="00000000">
        <w:rPr>
          <w:rFonts w:ascii="Montserrat" w:cs="Montserrat" w:eastAsia="Montserrat" w:hAnsi="Montserrat"/>
          <w:sz w:val="19"/>
          <w:szCs w:val="19"/>
          <w:rtl w:val="0"/>
        </w:rPr>
        <w:t xml:space="preserve">Short-term funding that provides startups with additional capital between equity raises. Often structured as convertible loan agreements or SAFEs, these rounds are typically led by existing investors, who seek to safeguard their earlier stakes and support the company until it reaches the next milestone. Note this is distinct from venture debt, which is generally provided by external lenders and is underwritten based on a company’s ability to raise future financing. While this research seeks to understand bridge financing broadly, Trellis is particularly interested in financing directed at discrete activities (e.g., capacity expansion, interconnection studies, or plant retrofits), versus general runway extension.</w:t>
      </w:r>
    </w:p>
    <w:p w:rsidR="00000000" w:rsidDel="00000000" w:rsidP="00000000" w:rsidRDefault="00000000" w:rsidRPr="00000000" w14:paraId="00000028">
      <w:pPr>
        <w:rPr>
          <w:rFonts w:ascii="Montserrat" w:cs="Montserrat" w:eastAsia="Montserrat" w:hAnsi="Montserrat"/>
          <w:b w:val="1"/>
          <w:sz w:val="19"/>
          <w:szCs w:val="19"/>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b w:val="1"/>
          <w:sz w:val="19"/>
          <w:szCs w:val="19"/>
        </w:rPr>
      </w:pPr>
      <w:r w:rsidDel="00000000" w:rsidR="00000000" w:rsidRPr="00000000">
        <w:rPr>
          <w:rFonts w:ascii="Montserrat" w:cs="Montserrat" w:eastAsia="Montserrat" w:hAnsi="Montserrat"/>
          <w:b w:val="1"/>
          <w:sz w:val="19"/>
          <w:szCs w:val="19"/>
          <w:rtl w:val="0"/>
        </w:rPr>
        <w:t xml:space="preserve">Context: </w:t>
      </w:r>
    </w:p>
    <w:p w:rsidR="00000000" w:rsidDel="00000000" w:rsidP="00000000" w:rsidRDefault="00000000" w:rsidRPr="00000000" w14:paraId="0000002A">
      <w:pPr>
        <w:numPr>
          <w:ilvl w:val="0"/>
          <w:numId w:val="3"/>
        </w:numPr>
        <w:ind w:left="72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 in 3 VC rounds is an extension round (</w:t>
      </w:r>
      <w:hyperlink r:id="rId27">
        <w:r w:rsidDel="00000000" w:rsidR="00000000" w:rsidRPr="00000000">
          <w:rPr>
            <w:rFonts w:ascii="Montserrat" w:cs="Montserrat" w:eastAsia="Montserrat" w:hAnsi="Montserrat"/>
            <w:color w:val="1155cc"/>
            <w:sz w:val="19"/>
            <w:szCs w:val="19"/>
            <w:u w:val="single"/>
            <w:rtl w:val="0"/>
          </w:rPr>
          <w:t xml:space="preserve">SVB</w:t>
        </w:r>
      </w:hyperlink>
      <w:r w:rsidDel="00000000" w:rsidR="00000000" w:rsidRPr="00000000">
        <w:rPr>
          <w:rFonts w:ascii="Montserrat" w:cs="Montserrat" w:eastAsia="Montserrat" w:hAnsi="Montserrat"/>
          <w:sz w:val="19"/>
          <w:szCs w:val="19"/>
          <w:rtl w:val="0"/>
        </w:rPr>
        <w:t xml:space="preserve">): Given seed activity accounts for over half of all climate tech VC rounds, the late stage has cooled significantly. There are half as many investors actively participating beyond Series B compared to 2021, while nearly the same number are active at the seed stage. </w:t>
      </w:r>
    </w:p>
    <w:p w:rsidR="00000000" w:rsidDel="00000000" w:rsidP="00000000" w:rsidRDefault="00000000" w:rsidRPr="00000000" w14:paraId="0000002B">
      <w:pPr>
        <w:numPr>
          <w:ilvl w:val="1"/>
          <w:numId w:val="3"/>
        </w:numPr>
        <w:ind w:left="144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This dynamic could create further challenges for early-stage companies graduating to future funding rounds. As a result, alternative funding routes, such as unpriced convertible notes and extension rounds, are increasingly common</w:t>
      </w:r>
    </w:p>
    <w:p w:rsidR="00000000" w:rsidDel="00000000" w:rsidP="00000000" w:rsidRDefault="00000000" w:rsidRPr="00000000" w14:paraId="0000002C">
      <w:pPr>
        <w:numPr>
          <w:ilvl w:val="0"/>
          <w:numId w:val="3"/>
        </w:numPr>
        <w:ind w:left="72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While the frequency of bridge rounds among Series C startups has remained relatively steady over the past several quarters, the median pre-money valuation on these transactions doubled between Q4 2023 and Q4 2024. (</w:t>
      </w:r>
      <w:hyperlink r:id="rId28">
        <w:r w:rsidDel="00000000" w:rsidR="00000000" w:rsidRPr="00000000">
          <w:rPr>
            <w:rFonts w:ascii="Montserrat" w:cs="Montserrat" w:eastAsia="Montserrat" w:hAnsi="Montserrat"/>
            <w:color w:val="1155cc"/>
            <w:sz w:val="19"/>
            <w:szCs w:val="19"/>
            <w:u w:val="single"/>
            <w:rtl w:val="0"/>
          </w:rPr>
          <w:t xml:space="preserve">Carta, 2024 State of Private Markets</w:t>
        </w:r>
      </w:hyperlink>
      <w:r w:rsidDel="00000000" w:rsidR="00000000" w:rsidRPr="00000000">
        <w:rPr>
          <w:rFonts w:ascii="Montserrat" w:cs="Montserrat" w:eastAsia="Montserrat" w:hAnsi="Montserrat"/>
          <w:sz w:val="19"/>
          <w:szCs w:val="19"/>
          <w:rtl w:val="0"/>
        </w:rPr>
        <w:t xml:space="preserve">)</w:t>
      </w:r>
    </w:p>
    <w:p w:rsidR="00000000" w:rsidDel="00000000" w:rsidP="00000000" w:rsidRDefault="00000000" w:rsidRPr="00000000" w14:paraId="0000002D">
      <w:pPr>
        <w:numPr>
          <w:ilvl w:val="0"/>
          <w:numId w:val="3"/>
        </w:numPr>
        <w:ind w:left="72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 2024, there was a 10% drop in Series B deals, and it took over two years on average for companies to advance from Series A to Series B, up from 20 months in 2023 (</w:t>
      </w:r>
      <w:hyperlink r:id="rId29">
        <w:r w:rsidDel="00000000" w:rsidR="00000000" w:rsidRPr="00000000">
          <w:rPr>
            <w:rFonts w:ascii="Montserrat" w:cs="Montserrat" w:eastAsia="Montserrat" w:hAnsi="Montserrat"/>
            <w:color w:val="1155cc"/>
            <w:sz w:val="19"/>
            <w:szCs w:val="19"/>
            <w:u w:val="single"/>
            <w:rtl w:val="0"/>
          </w:rPr>
          <w:t xml:space="preserve">Sightline</w:t>
        </w:r>
      </w:hyperlink>
      <w:r w:rsidDel="00000000" w:rsidR="00000000" w:rsidRPr="00000000">
        <w:rPr>
          <w:rFonts w:ascii="Montserrat" w:cs="Montserrat" w:eastAsia="Montserrat" w:hAnsi="Montserrat"/>
          <w:sz w:val="19"/>
          <w:szCs w:val="19"/>
          <w:rtl w:val="0"/>
        </w:rPr>
        <w:t xml:space="preserve">)</w:t>
      </w:r>
    </w:p>
    <w:p w:rsidR="00000000" w:rsidDel="00000000" w:rsidP="00000000" w:rsidRDefault="00000000" w:rsidRPr="00000000" w14:paraId="0000002E">
      <w:pPr>
        <w:numPr>
          <w:ilvl w:val="1"/>
          <w:numId w:val="3"/>
        </w:numPr>
        <w:ind w:left="144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The Valley of Death between Series A and Series B has become more precarious, as a large cohort of climate tech companies approaches the milestone. </w:t>
      </w:r>
    </w:p>
    <w:p w:rsidR="00000000" w:rsidDel="00000000" w:rsidP="00000000" w:rsidRDefault="00000000" w:rsidRPr="00000000" w14:paraId="0000002F">
      <w:pPr>
        <w:numPr>
          <w:ilvl w:val="1"/>
          <w:numId w:val="3"/>
        </w:numPr>
        <w:ind w:left="144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The average time it takes a company to raise a Series B in 2024 is more than double the time it took three years ago, up from 11 months to 26 months between rounds. </w:t>
      </w:r>
    </w:p>
    <w:p w:rsidR="00000000" w:rsidDel="00000000" w:rsidP="00000000" w:rsidRDefault="00000000" w:rsidRPr="00000000" w14:paraId="00000030">
      <w:pPr>
        <w:numPr>
          <w:ilvl w:val="1"/>
          <w:numId w:val="3"/>
        </w:numPr>
        <w:ind w:left="144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Meanwhile, late-stage and growth investment and deals have also dropped precipitously. These investors are holding on to record levels of dry powder, but they’re raising their expectations and looking for more concrete proof of commercialization and ARR goals (</w:t>
      </w:r>
      <w:hyperlink r:id="rId30">
        <w:r w:rsidDel="00000000" w:rsidR="00000000" w:rsidRPr="00000000">
          <w:rPr>
            <w:rFonts w:ascii="Montserrat" w:cs="Montserrat" w:eastAsia="Montserrat" w:hAnsi="Montserrat"/>
            <w:color w:val="1155cc"/>
            <w:sz w:val="19"/>
            <w:szCs w:val="19"/>
            <w:u w:val="single"/>
            <w:rtl w:val="0"/>
          </w:rPr>
          <w:t xml:space="preserve">Sightline</w:t>
        </w:r>
      </w:hyperlink>
      <w:r w:rsidDel="00000000" w:rsidR="00000000" w:rsidRPr="00000000">
        <w:rPr>
          <w:rFonts w:ascii="Montserrat" w:cs="Montserrat" w:eastAsia="Montserrat" w:hAnsi="Montserrat"/>
          <w:sz w:val="19"/>
          <w:szCs w:val="19"/>
          <w:rtl w:val="0"/>
        </w:rPr>
        <w:t xml:space="preserve">). </w:t>
      </w:r>
    </w:p>
    <w:p w:rsidR="00000000" w:rsidDel="00000000" w:rsidP="00000000" w:rsidRDefault="00000000" w:rsidRPr="00000000" w14:paraId="00000031">
      <w:pPr>
        <w:numPr>
          <w:ilvl w:val="0"/>
          <w:numId w:val="3"/>
        </w:numPr>
        <w:ind w:left="72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Past examples of successful bridge financing that could be instructive: </w:t>
      </w:r>
      <w:hyperlink r:id="rId31">
        <w:r w:rsidDel="00000000" w:rsidR="00000000" w:rsidRPr="00000000">
          <w:rPr>
            <w:rFonts w:ascii="Montserrat" w:cs="Montserrat" w:eastAsia="Montserrat" w:hAnsi="Montserrat"/>
            <w:color w:val="1155cc"/>
            <w:sz w:val="19"/>
            <w:szCs w:val="19"/>
            <w:u w:val="single"/>
            <w:rtl w:val="0"/>
          </w:rPr>
          <w:t xml:space="preserve">Tesla</w:t>
        </w:r>
      </w:hyperlink>
      <w:r w:rsidDel="00000000" w:rsidR="00000000" w:rsidRPr="00000000">
        <w:rPr>
          <w:rFonts w:ascii="Montserrat" w:cs="Montserrat" w:eastAsia="Montserrat" w:hAnsi="Montserrat"/>
          <w:sz w:val="19"/>
          <w:szCs w:val="19"/>
          <w:rtl w:val="0"/>
        </w:rPr>
        <w:t xml:space="preserve">, SpaceX, Apple (</w:t>
      </w:r>
      <w:hyperlink r:id="rId32">
        <w:r w:rsidDel="00000000" w:rsidR="00000000" w:rsidRPr="00000000">
          <w:rPr>
            <w:rFonts w:ascii="Montserrat" w:cs="Montserrat" w:eastAsia="Montserrat" w:hAnsi="Montserrat"/>
            <w:color w:val="1155cc"/>
            <w:sz w:val="19"/>
            <w:szCs w:val="19"/>
            <w:u w:val="single"/>
            <w:rtl w:val="0"/>
          </w:rPr>
          <w:t xml:space="preserve">Medium</w:t>
        </w:r>
      </w:hyperlink>
      <w:r w:rsidDel="00000000" w:rsidR="00000000" w:rsidRPr="00000000">
        <w:rPr>
          <w:rFonts w:ascii="Montserrat" w:cs="Montserrat" w:eastAsia="Montserrat" w:hAnsi="Montserrat"/>
          <w:sz w:val="19"/>
          <w:szCs w:val="19"/>
          <w:rtl w:val="0"/>
        </w:rPr>
        <w:t xml:space="preserve">). Tesla, QuantumScape, Form Energy all raised bridges during deep valleys. </w:t>
      </w:r>
    </w:p>
    <w:p w:rsidR="00000000" w:rsidDel="00000000" w:rsidP="00000000" w:rsidRDefault="00000000" w:rsidRPr="00000000" w14:paraId="00000032">
      <w:pPr>
        <w:numPr>
          <w:ilvl w:val="0"/>
          <w:numId w:val="3"/>
        </w:numPr>
        <w:ind w:left="72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Unfortunately, the data suggests that startups that rely on bridge rounds have a much lower likelihood of reaching a high-value exit (</w:t>
      </w:r>
      <w:hyperlink r:id="rId33">
        <w:r w:rsidDel="00000000" w:rsidR="00000000" w:rsidRPr="00000000">
          <w:rPr>
            <w:rFonts w:ascii="Montserrat" w:cs="Montserrat" w:eastAsia="Montserrat" w:hAnsi="Montserrat"/>
            <w:color w:val="1155cc"/>
            <w:sz w:val="19"/>
            <w:szCs w:val="19"/>
            <w:u w:val="single"/>
            <w:rtl w:val="0"/>
          </w:rPr>
          <w:t xml:space="preserve">Alpaca VC</w:t>
        </w:r>
      </w:hyperlink>
      <w:r w:rsidDel="00000000" w:rsidR="00000000" w:rsidRPr="00000000">
        <w:rPr>
          <w:rFonts w:ascii="Montserrat" w:cs="Montserrat" w:eastAsia="Montserrat" w:hAnsi="Montserrat"/>
          <w:sz w:val="19"/>
          <w:szCs w:val="19"/>
          <w:rtl w:val="0"/>
        </w:rPr>
        <w:t xml:space="preserve">).</w:t>
      </w:r>
      <w:r w:rsidDel="00000000" w:rsidR="00000000" w:rsidRPr="00000000">
        <w:rPr>
          <w:rtl w:val="0"/>
        </w:rPr>
      </w:r>
    </w:p>
    <w:p w:rsidR="00000000" w:rsidDel="00000000" w:rsidP="00000000" w:rsidRDefault="00000000" w:rsidRPr="00000000" w14:paraId="00000033">
      <w:pPr>
        <w:numPr>
          <w:ilvl w:val="1"/>
          <w:numId w:val="3"/>
        </w:numPr>
        <w:ind w:left="144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Startups that take multiple bridge rounds without a clear path forward often end up in soft “acquihires” or shutting down rather than securing high-value exits.</w:t>
      </w:r>
    </w:p>
    <w:p w:rsidR="00000000" w:rsidDel="00000000" w:rsidP="00000000" w:rsidRDefault="00000000" w:rsidRPr="00000000" w14:paraId="00000034">
      <w:pPr>
        <w:numPr>
          <w:ilvl w:val="1"/>
          <w:numId w:val="3"/>
        </w:numPr>
        <w:ind w:left="144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Only a small percentage of bridge-funded startups ever go public, since the need for interim financing often signals underlying challenges with growth or scalability.</w:t>
      </w:r>
    </w:p>
    <w:p w:rsidR="00000000" w:rsidDel="00000000" w:rsidP="00000000" w:rsidRDefault="00000000" w:rsidRPr="00000000" w14:paraId="00000035">
      <w:pPr>
        <w:numPr>
          <w:ilvl w:val="0"/>
          <w:numId w:val="3"/>
        </w:numPr>
        <w:ind w:left="72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Bridge rounds gained visibility as a viable funding mechanism in 2023-2024, representing 60-70% of all funding rounds during this period due to challenging market conditions and reduced venture capital activity (</w:t>
      </w:r>
      <w:hyperlink r:id="rId34">
        <w:r w:rsidDel="00000000" w:rsidR="00000000" w:rsidRPr="00000000">
          <w:rPr>
            <w:rFonts w:ascii="Montserrat" w:cs="Montserrat" w:eastAsia="Montserrat" w:hAnsi="Montserrat"/>
            <w:color w:val="1155cc"/>
            <w:sz w:val="19"/>
            <w:szCs w:val="19"/>
            <w:u w:val="single"/>
            <w:rtl w:val="0"/>
          </w:rPr>
          <w:t xml:space="preserve">Seedblink</w:t>
        </w:r>
      </w:hyperlink>
      <w:r w:rsidDel="00000000" w:rsidR="00000000" w:rsidRPr="00000000">
        <w:rPr>
          <w:rFonts w:ascii="Montserrat" w:cs="Montserrat" w:eastAsia="Montserrat" w:hAnsi="Montserrat"/>
          <w:sz w:val="19"/>
          <w:szCs w:val="19"/>
          <w:rtl w:val="0"/>
        </w:rPr>
        <w:t xml:space="preserve">)</w:t>
      </w:r>
    </w:p>
    <w:p w:rsidR="00000000" w:rsidDel="00000000" w:rsidP="00000000" w:rsidRDefault="00000000" w:rsidRPr="00000000" w14:paraId="00000036">
      <w:pPr>
        <w:numPr>
          <w:ilvl w:val="1"/>
          <w:numId w:val="3"/>
        </w:numPr>
        <w:ind w:left="144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Another notable trend is the evolution of key terms within bridge rounds. Shorter maturities, typically between 12 and 24 months, have replaced the longer timelines seen in previous years. It reflects investor expectations that startups should be able to secure their next financing round within a year or two. </w:t>
      </w:r>
    </w:p>
    <w:p w:rsidR="00000000" w:rsidDel="00000000" w:rsidP="00000000" w:rsidRDefault="00000000" w:rsidRPr="00000000" w14:paraId="00000037">
      <w:pPr>
        <w:numPr>
          <w:ilvl w:val="1"/>
          <w:numId w:val="3"/>
        </w:numPr>
        <w:ind w:left="144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Interest rates, previously negligible in a low-interest environment, have now increased to align with rising central bank rates, often falling within the 5-7% range.</w:t>
      </w:r>
    </w:p>
    <w:p w:rsidR="00000000" w:rsidDel="00000000" w:rsidP="00000000" w:rsidRDefault="00000000" w:rsidRPr="00000000" w14:paraId="00000038">
      <w:pPr>
        <w:numPr>
          <w:ilvl w:val="0"/>
          <w:numId w:val="3"/>
        </w:numPr>
        <w:ind w:left="720" w:hanging="360"/>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Bridge financing can have large implications for the cap table / ownership structure; companies are getting more savvy about this (e.g., not accepting all available money if it means forfeiting more equity in the longrun)</w:t>
      </w:r>
    </w:p>
    <w:p w:rsidR="00000000" w:rsidDel="00000000" w:rsidP="00000000" w:rsidRDefault="00000000" w:rsidRPr="00000000" w14:paraId="00000039">
      <w:pPr>
        <w:ind w:left="0" w:firstLine="0"/>
        <w:rPr>
          <w:rFonts w:ascii="Montserrat" w:cs="Montserrat" w:eastAsia="Montserrat" w:hAnsi="Montserrat"/>
          <w:b w:val="1"/>
          <w:sz w:val="19"/>
          <w:szCs w:val="19"/>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nevieve Hummer" w:id="0" w:date="2025-10-31T18:44:39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Green Fire Energy ($5-10M SAFE, don't have sufficient runway to get to the B), Mercurious (pre-Seed bridge round, already have a plant due to grant $)</w:t>
      </w:r>
    </w:p>
  </w:comment>
  <w:comment w:author="Genevieve Hummer" w:id="1" w:date="2025-10-31T19:04:43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@iliana_griva@berkeley.edu Feel free to add these to the list / correct my spelling as needed!</w:t>
      </w:r>
    </w:p>
  </w:comment>
  <w:comment w:author="Iliana Griva" w:id="2" w:date="2025-11-05T04:15:35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Malta raising a Series BB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acventurecapital.com/insight/the-state-of-technology-culture-a-return-to-hard-tech/" TargetMode="External"/><Relationship Id="rId22" Type="http://schemas.openxmlformats.org/officeDocument/2006/relationships/hyperlink" Target="https://deannazhang.com/looking-at-10-different-first-commercial-facilities-how-they-got-funded/" TargetMode="External"/><Relationship Id="rId21" Type="http://schemas.openxmlformats.org/officeDocument/2006/relationships/hyperlink" Target="https://www.energy.gov/sites/default/files/2024-11/FOAK%20Financing%20and%20Development%20Approaches_112024_vf.pdf" TargetMode="External"/><Relationship Id="rId24" Type="http://schemas.openxmlformats.org/officeDocument/2006/relationships/hyperlink" Target="https://app-na1.hubspotdocuments.com/documents/1697558/view/898406943?accessId=ec9bc1" TargetMode="External"/><Relationship Id="rId23" Type="http://schemas.openxmlformats.org/officeDocument/2006/relationships/hyperlink" Target="https://www.climatebrick.com/bricks/gigascal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hevcfactory.com/bridge-financing-when-venture-capitalists-throw-good-money-after-bad/" TargetMode="External"/><Relationship Id="rId26" Type="http://schemas.openxmlformats.org/officeDocument/2006/relationships/hyperlink" Target="https://www.thinkgeoenergy.com/xgs-energy-raises-20-million-additional-funding-for-next-generation-geothermal/" TargetMode="External"/><Relationship Id="rId25" Type="http://schemas.openxmlformats.org/officeDocument/2006/relationships/hyperlink" Target="https://www.anzupartners.com/2025/03/26/xgs-energy-secures-additional-13-million-to-accelerate-advanced-geothermal-deployment/" TargetMode="External"/><Relationship Id="rId28" Type="http://schemas.openxmlformats.org/officeDocument/2006/relationships/hyperlink" Target="https://carta.com/data/state-of-private-markets-q4-2024/" TargetMode="External"/><Relationship Id="rId27" Type="http://schemas.openxmlformats.org/officeDocument/2006/relationships/hyperlink" Target="https://www.svb.com/globalassets/trendsandinsights/reports/future-of-climate/2025/svb-climate-tech-report-2025.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ctvc.co/a-weak-11-3bn-start-to-2024-climate-tech/" TargetMode="External"/><Relationship Id="rId7" Type="http://schemas.openxmlformats.org/officeDocument/2006/relationships/hyperlink" Target="https://docs.google.com/document/d/11nAXVFUTHvvovF8HV1kOE26bW1hQhrusE1CUbY7tj5I/edit?tab=t.0#bookmark=id.31x7zxnzymfh" TargetMode="External"/><Relationship Id="rId8" Type="http://schemas.openxmlformats.org/officeDocument/2006/relationships/hyperlink" Target="https://www.forbes.com/sites/kylewestaway/2025/02/24/the-new-venture-playbook-the-data-every-founder-needs-to-know/" TargetMode="External"/><Relationship Id="rId31" Type="http://schemas.openxmlformats.org/officeDocument/2006/relationships/hyperlink" Target="https://www.sustainablebusiness.com/2008/02/tesla-motors-completes-40m-financing-42138/" TargetMode="External"/><Relationship Id="rId30" Type="http://schemas.openxmlformats.org/officeDocument/2006/relationships/hyperlink" Target="https://www.ctvc.co/a-weak-11-3bn-start-to-2024-climate-tech/" TargetMode="External"/><Relationship Id="rId11" Type="http://schemas.openxmlformats.org/officeDocument/2006/relationships/hyperlink" Target="https://papers.ssrn.com/sol3/papers.cfm?abstract_id=5002114" TargetMode="External"/><Relationship Id="rId33" Type="http://schemas.openxmlformats.org/officeDocument/2006/relationships/hyperlink" Target="https://alpaca.vc/2025/04/the-truth-about-bridge-rounds-do-they-help-or-hurt-startup-survival/" TargetMode="External"/><Relationship Id="rId10" Type="http://schemas.openxmlformats.org/officeDocument/2006/relationships/hyperlink" Target="https://seedblink.com/blog/2024-12-19-bridge-rounds-a-sign-of-trouble-or-a-smart-financing-solution-in-2025" TargetMode="External"/><Relationship Id="rId32" Type="http://schemas.openxmlformats.org/officeDocument/2006/relationships/hyperlink" Target="https://medium.com/@exitfund/why-bridge-financing-could-be-your-startups-best-move-yet-d936d7fbfae6" TargetMode="External"/><Relationship Id="rId13" Type="http://schemas.openxmlformats.org/officeDocument/2006/relationships/hyperlink" Target="https://carta.com/data/bridge-rounds-q1-2024/" TargetMode="External"/><Relationship Id="rId12" Type="http://schemas.openxmlformats.org/officeDocument/2006/relationships/hyperlink" Target="https://alpaca.vc/2025/04/the-truth-about-bridge-rounds-do-they-help-or-hurt-startup-survival/" TargetMode="External"/><Relationship Id="rId34" Type="http://schemas.openxmlformats.org/officeDocument/2006/relationships/hyperlink" Target="https://seedblink.com/blog/2024-12-19-bridge-rounds-a-sign-of-trouble-or-a-smart-financing-solution-in-2025" TargetMode="External"/><Relationship Id="rId15" Type="http://schemas.openxmlformats.org/officeDocument/2006/relationships/hyperlink" Target="https://carta.com/data/state-of-private-markets-q2-2025/?_gl=1*ka3lb3*_up*MQ..*_ga*NjE3MDExNDM2LjE3NjEwNjA3NzI.*_ga_HB6KGNG78T*czE3NjEwNjA3NzIkbzEkZzAkdDE3NjEwNjA3NzIkajYwJGwwJGgw*_ga_GGJVST6FH9*czE3NjEwNjA3NzIkbzEkZzAkdDE3NjEwNjA3NzIkajYwJGwwJGgw" TargetMode="External"/><Relationship Id="rId14" Type="http://schemas.openxmlformats.org/officeDocument/2006/relationships/hyperlink" Target="https://carta.com/data/state-of-private-markets-q1-2025-full-report/" TargetMode="External"/><Relationship Id="rId17" Type="http://schemas.openxmlformats.org/officeDocument/2006/relationships/hyperlink" Target="https://carta.com/data/series-a-fundraising-q2-2025/?_gl=1*4w0426*_up*MQ..*_ga*NjE3MDExNDM2LjE3NjEwNjA3NzI.*_ga_HB6KGNG78T*czE3NjEwNjA3NzIkbzEkZzAkdDE3NjEwNjA3NzIkajYwJGwwJGgw*_ga_GGJVST6FH9*czE3NjEwNjA3NzIkbzEkZzAkdDE3NjEwNjA3NzIkajYwJGwwJGgw" TargetMode="External"/><Relationship Id="rId16" Type="http://schemas.openxmlformats.org/officeDocument/2006/relationships/hyperlink" Target="https://carta.com/data/bridge-rounds-q2-2025/?_gl=1*4w0426*_up*MQ..*_ga*NjE3MDExNDM2LjE3NjEwNjA3NzI.*_ga_HB6KGNG78T*czE3NjEwNjA3NzIkbzEkZzAkdDE3NjEwNjA3NzIkajYwJGwwJGgw*_ga_GGJVST6FH9*czE3NjEwNjA3NzIkbzEkZzAkdDE3NjEwNjA3NzIkajYwJGwwJGgw" TargetMode="External"/><Relationship Id="rId19" Type="http://schemas.openxmlformats.org/officeDocument/2006/relationships/hyperlink" Target="https://www.hsbcinnovationbanking.com/us/en/resources/sightline-climate-report" TargetMode="External"/><Relationship Id="rId18" Type="http://schemas.openxmlformats.org/officeDocument/2006/relationships/hyperlink" Target="https://deannazhang.com/how-bringing-data-into-climate-tech-can-spur-exits-catalyze-new-investment-dollars-for-foak-just-as-it-did-in-biote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