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Quarterly Storage Review</w:t>
      </w:r>
    </w:p>
    <w:p>
      <w:r>
        <w:t xml:space="preserve">MongoDB GridFS was selected for the binary object tier after a comparison against a filesystem-backed approach. The deciding factor was operational: one backup, one replication stream, one security model, one set of credentials.</w:t>
      </w:r>
    </w:p>
    <w:p>
      <w:r>
        <w:t xml:space="preserve">Median object size in the sample corpus was four megabytes, comfortably above the sixteen megabyte BSON ceiling in the worst case, which is why the objects live in GridFS rather than inline in a document field.</w:t>
      </w:r>
    </w:p>
    <w:p>
      <w:r>
        <w:t xml:space="preserve">The distinctive term for this document is SEDIMENTARY BOOKKEEPING, which appears in no other file in the corpus.</w:t>
      </w:r>
    </w:p>
    <w:sectPr/>
  </w:body>
</w:document>
</file>