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F62463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3154111" r:id="rId7"/>
        </w:object>
      </w:r>
      <w:r>
        <w:tab/>
      </w:r>
      <w:r w:rsidR="00F62463">
        <w:fldChar w:fldCharType="begin"/>
      </w:r>
      <w:r w:rsidR="00470E4F">
        <w:instrText xml:space="preserve"> MACROBUTTON MTPlaceRef \* MERGEFORMAT </w:instrText>
      </w:r>
      <w:r w:rsidR="00F62463">
        <w:fldChar w:fldCharType="begin"/>
      </w:r>
      <w:r w:rsidR="00470E4F">
        <w:instrText xml:space="preserve"> SEQ MTEqn \h \* MERGEFORMAT </w:instrText>
      </w:r>
      <w:r w:rsidR="00F62463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C304DF">
          <w:rPr>
            <w:noProof/>
          </w:rPr>
          <w:instrText>1</w:instrText>
        </w:r>
      </w:fldSimple>
      <w:r w:rsidR="00470E4F">
        <w:instrText>)</w:instrText>
      </w:r>
      <w:bookmarkEnd w:id="0"/>
      <w:r w:rsidR="00F62463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3154112" r:id="rId9"/>
        </w:object>
      </w:r>
      <w:r>
        <w:tab/>
      </w:r>
      <w:r w:rsidR="00F62463">
        <w:fldChar w:fldCharType="begin"/>
      </w:r>
      <w:r w:rsidR="00470E4F">
        <w:instrText xml:space="preserve"> MACROBUTTON MTPlaceRef \* MERGEFORMAT </w:instrText>
      </w:r>
      <w:r w:rsidR="00F62463">
        <w:fldChar w:fldCharType="begin"/>
      </w:r>
      <w:r w:rsidR="00470E4F">
        <w:instrText xml:space="preserve"> SEQ MTEqn \h \* MERGEFORMAT </w:instrText>
      </w:r>
      <w:r w:rsidR="00F62463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C304DF">
          <w:rPr>
            <w:noProof/>
          </w:rPr>
          <w:instrText>2</w:instrText>
        </w:r>
      </w:fldSimple>
      <w:r w:rsidR="00470E4F">
        <w:instrText>)</w:instrText>
      </w:r>
      <w:bookmarkEnd w:id="1"/>
      <w:r w:rsidR="00F62463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3154113" r:id="rId1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</w:instrText>
        </w:r>
      </w:fldSimple>
      <w:r>
        <w:instrText>)</w:instrText>
      </w:r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3154114" r:id="rId1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" w:name="ZEqnNum69870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</w:instrText>
        </w:r>
      </w:fldSimple>
      <w:r>
        <w:instrText>)</w:instrText>
      </w:r>
      <w:bookmarkEnd w:id="2"/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3154115" r:id="rId1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5</w:instrText>
        </w:r>
      </w:fldSimple>
      <w:r>
        <w:instrText>)</w:instrText>
      </w:r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3154116" r:id="rId17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3" w:name="ZEqnNum73509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6</w:instrText>
        </w:r>
      </w:fldSimple>
      <w:r>
        <w:instrText>)</w:instrText>
      </w:r>
      <w:bookmarkEnd w:id="3"/>
      <w:r w:rsidR="00F62463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F6246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F6246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2.6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3154117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3154118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3154119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3154120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следующими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3154121" r:id="rId27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F6246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3154122" r:id="rId29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F62463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3154123" r:id="rId31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F62463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3154124" r:id="rId33"/>
        </w:object>
      </w:r>
      <w:r>
        <w:rPr>
          <w:rFonts w:eastAsia="SimSun"/>
        </w:rPr>
        <w:tab/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F6246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F62463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C304DF" w:rsidRPr="00C304DF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C304DF" w:rsidRPr="00C304DF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F62463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F6246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F62463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2.10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F62463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3154125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3154126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3154127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3154128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3154129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3154130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3154131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3154132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3154133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3154134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3154135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3154136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3154137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3154138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3154139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3154140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3154141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3154142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3154143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3154144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3154145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3154146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3154147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3154148" r:id="rId81"/>
        </w:object>
      </w:r>
      <w:r>
        <w:t>,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11</w:instrText>
        </w:r>
      </w:fldSimple>
      <w:r>
        <w:instrText>)</w:instrText>
      </w:r>
      <w:r w:rsidR="00F62463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3154149" r:id="rId83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7" w:name="ZEqnNum50794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12</w:instrText>
        </w:r>
      </w:fldSimple>
      <w:r>
        <w:instrText>)</w:instrText>
      </w:r>
      <w:bookmarkEnd w:id="7"/>
      <w:r w:rsidR="00F62463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F6246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2.9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F6246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2.12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3154150" r:id="rId85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8" w:name="ZEqnNum259416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13</w:instrText>
        </w:r>
      </w:fldSimple>
      <w:r>
        <w:instrText>)</w:instrText>
      </w:r>
      <w:bookmarkEnd w:id="8"/>
      <w:r w:rsidR="00F62463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F6246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2.8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F62463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3154151" r:id="rId8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9" w:name="ZEqnNum71264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14</w:instrText>
        </w:r>
      </w:fldSimple>
      <w:r>
        <w:instrText>)</w:instrText>
      </w:r>
      <w:bookmarkEnd w:id="9"/>
      <w:r w:rsidR="00F62463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3154152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F62463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2.13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3154153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F6246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3154154" r:id="rId9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0" w:name="ZEqnNum98069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15</w:instrText>
        </w:r>
      </w:fldSimple>
      <w:r>
        <w:instrText>)</w:instrText>
      </w:r>
      <w:bookmarkEnd w:id="10"/>
      <w:r w:rsidR="00F6246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3154155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3154156" r:id="rId9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1" w:name="ZEqnNum89432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16</w:instrText>
        </w:r>
      </w:fldSimple>
      <w:r>
        <w:instrText>)</w:instrText>
      </w:r>
      <w:bookmarkEnd w:id="11"/>
      <w:r w:rsidR="00F6246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F6246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F6246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3154157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3154158" r:id="rId10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17</w:instrText>
        </w:r>
      </w:fldSimple>
      <w:r>
        <w:instrText>)</w:instrText>
      </w:r>
      <w:r w:rsidR="00F6246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3154159" r:id="rId10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18</w:instrText>
        </w:r>
      </w:fldSimple>
      <w:r>
        <w:instrText>)</w:instrText>
      </w:r>
      <w:r w:rsidR="00F6246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3154160" r:id="rId10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19</w:instrText>
        </w:r>
      </w:fldSimple>
      <w:r>
        <w:instrText>)</w:instrText>
      </w:r>
      <w:r w:rsidR="00F62463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F62463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2.15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3154161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3154162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3154163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3154164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3154165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3154166" r:id="rId11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2" w:name="ZEqnNum333954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20</w:instrText>
        </w:r>
      </w:fldSimple>
      <w:r>
        <w:instrText>)</w:instrText>
      </w:r>
      <w:bookmarkEnd w:id="12"/>
      <w:r w:rsidR="00F62463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3154167" r:id="rId11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21</w:instrText>
        </w:r>
      </w:fldSimple>
      <w:r>
        <w:instrText>)</w:instrText>
      </w:r>
      <w:r w:rsidR="00F62463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2.16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F6246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2.20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3154168" r:id="rId12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3" w:name="ZEqnNum32186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22</w:instrText>
        </w:r>
      </w:fldSimple>
      <w:r>
        <w:instrText>)</w:instrText>
      </w:r>
      <w:bookmarkEnd w:id="13"/>
      <w:r w:rsidR="00F62463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3154169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3154170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3154171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3154172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3154173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3154174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3154175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3154176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F62463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2.22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3154177" r:id="rId13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23</w:instrText>
        </w:r>
      </w:fldSimple>
      <w:r>
        <w:instrText>)</w:instrText>
      </w:r>
      <w:r w:rsidR="00F62463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2.13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2.14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2.8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73154178" r:id="rId14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24</w:instrText>
        </w:r>
      </w:fldSimple>
      <w:r>
        <w:instrText>)</w:instrText>
      </w:r>
      <w:r w:rsidR="00F62463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73154179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3154180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73154181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73154182" r:id="rId14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25</w:instrText>
        </w:r>
      </w:fldSimple>
      <w:r>
        <w:instrText>)</w:instrText>
      </w:r>
      <w:r w:rsidR="00F62463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73154183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F6246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F62463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C304DF" w:rsidRPr="00C304DF">
          <w:rPr>
            <w:rFonts w:eastAsia="SimSun"/>
            <w:lang w:val="ru-RU"/>
          </w:rPr>
          <w:instrText>(</w:instrText>
        </w:r>
        <w:r w:rsidR="00C304DF" w:rsidRPr="00C304DF">
          <w:rPr>
            <w:rFonts w:eastAsia="SimSun"/>
            <w:noProof/>
            <w:lang w:val="ru-RU"/>
          </w:rPr>
          <w:instrText>2.10</w:instrText>
        </w:r>
        <w:r w:rsidR="00C304DF" w:rsidRPr="00C304DF">
          <w:rPr>
            <w:rFonts w:eastAsia="SimSun"/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73154184" r:id="rId15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4" w:name="ZEqnNum595411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26</w:instrText>
        </w:r>
      </w:fldSimple>
      <w:r>
        <w:instrText>)</w:instrText>
      </w:r>
      <w:bookmarkEnd w:id="14"/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73154185" r:id="rId15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27</w:instrText>
        </w:r>
      </w:fldSimple>
      <w:r>
        <w:instrText>)</w:instrText>
      </w:r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73154186" r:id="rId15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28</w:instrText>
        </w:r>
      </w:fldSimple>
      <w:r>
        <w:instrText>)</w:instrText>
      </w:r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73154187" r:id="rId15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29</w:instrText>
        </w:r>
      </w:fldSimple>
      <w:r>
        <w:instrText>)</w:instrText>
      </w:r>
      <w:r w:rsidR="00F62463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73154188" r:id="rId16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5" w:name="ZEqnNum135300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30</w:instrText>
        </w:r>
      </w:fldSimple>
      <w:r>
        <w:instrText>)</w:instrText>
      </w:r>
      <w:bookmarkEnd w:id="15"/>
      <w:r w:rsidR="00F62463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F6246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2.26</w:instrText>
        </w:r>
        <w:r w:rsidR="00C304DF" w:rsidRPr="00C304DF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F62463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2.30</w:instrText>
        </w:r>
        <w:r w:rsidR="00C304DF" w:rsidRPr="00C304DF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F6246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2.26</w:instrText>
        </w:r>
        <w:r w:rsidR="00C304DF" w:rsidRPr="00C304DF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F62463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2.30</w:instrText>
        </w:r>
        <w:r w:rsidR="00C304DF" w:rsidRPr="00C304DF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73154189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73154190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73154191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73154192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73154193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73154194" r:id="rId173"/>
        </w:object>
      </w:r>
      <w:r w:rsidR="00310E87" w:rsidRPr="00310E87">
        <w:rPr>
          <w:lang w:val="ru-RU"/>
        </w:rPr>
        <w:t xml:space="preserve"> задача </w:t>
      </w:r>
      <w:r w:rsidR="00F6246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2.26</w:instrText>
        </w:r>
        <w:r w:rsidR="00C304DF" w:rsidRPr="00C304DF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F62463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2.30</w:instrText>
        </w:r>
        <w:r w:rsidR="00C304DF" w:rsidRPr="00C304DF">
          <w:rPr>
            <w:lang w:val="ru-RU"/>
          </w:rPr>
          <w:instrText>)</w:instrText>
        </w:r>
      </w:fldSimple>
      <w:r w:rsidR="00F62463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73154195" r:id="rId17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6" w:name="ZEqnNum93716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31</w:instrText>
        </w:r>
      </w:fldSimple>
      <w:r>
        <w:instrText>)</w:instrText>
      </w:r>
      <w:bookmarkEnd w:id="16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73154196" r:id="rId177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7" w:name="ZEqnNum39827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32</w:instrText>
        </w:r>
      </w:fldSimple>
      <w:r>
        <w:instrText>)</w:instrText>
      </w:r>
      <w:bookmarkEnd w:id="17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73154197" r:id="rId17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8" w:name="ZEqnNum398257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33</w:instrText>
        </w:r>
      </w:fldSimple>
      <w:r>
        <w:instrText>)</w:instrText>
      </w:r>
      <w:bookmarkEnd w:id="18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73154198" r:id="rId18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19" w:name="ZEqnNum27855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34</w:instrText>
        </w:r>
      </w:fldSimple>
      <w:r>
        <w:instrText>)</w:instrText>
      </w:r>
      <w:bookmarkEnd w:id="19"/>
      <w:r w:rsidR="00F62463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73154199" r:id="rId183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0" w:name="ZEqnNum674164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35</w:instrText>
        </w:r>
      </w:fldSimple>
      <w:r>
        <w:instrText>)</w:instrText>
      </w:r>
      <w:bookmarkEnd w:id="20"/>
      <w:r w:rsidR="00F62463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F62463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73154200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73154201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73154202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F6246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2.32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F6246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2.33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73154203" r:id="rId19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1" w:name="ZEqnNum894673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36</w:instrText>
        </w:r>
      </w:fldSimple>
      <w:r>
        <w:instrText>)</w:instrText>
      </w:r>
      <w:bookmarkEnd w:id="21"/>
      <w:r w:rsidR="00F62463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2.36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73154204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73154205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73154206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F6246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2.36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F6246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2.34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2.35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73154207" r:id="rId19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2" w:name="ZEqnNum883332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37</w:instrText>
        </w:r>
      </w:fldSimple>
      <w:r>
        <w:instrText>)</w:instrText>
      </w:r>
      <w:bookmarkEnd w:id="22"/>
      <w:r w:rsidR="00F62463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2.37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73154208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73154209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73154210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73154211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73154212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73154213" r:id="rId211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3" w:name="ZEqnNum119929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38</w:instrText>
        </w:r>
      </w:fldSimple>
      <w:r>
        <w:instrText>)</w:instrText>
      </w:r>
      <w:bookmarkEnd w:id="23"/>
      <w:r w:rsidR="00F62463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73154214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2.38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73154215" r:id="rId215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4" w:name="ZEqnNum674187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39</w:instrText>
        </w:r>
      </w:fldSimple>
      <w:r>
        <w:instrText>)</w:instrText>
      </w:r>
      <w:bookmarkEnd w:id="24"/>
      <w:r w:rsidR="00F62463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73154216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73154217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F62463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2.39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73154218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73154219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73154220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73154221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5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73154222" r:id="rId229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6" w:name="ZEqnNum276668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40</w:instrText>
        </w:r>
      </w:fldSimple>
      <w:r>
        <w:instrText>)</w:instrText>
      </w:r>
      <w:bookmarkEnd w:id="26"/>
      <w:r w:rsidR="00F62463">
        <w:fldChar w:fldCharType="end"/>
      </w:r>
      <w:commentRangeEnd w:id="25"/>
      <w:r w:rsidR="00F150E9">
        <w:rPr>
          <w:rStyle w:val="a9"/>
          <w:rFonts w:eastAsiaTheme="minorHAnsi" w:cstheme="minorBidi"/>
          <w:lang w:val="en-US" w:eastAsia="en-US"/>
        </w:rPr>
        <w:commentReference w:id="25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2.35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73154223" r:id="rId232"/>
        </w:object>
      </w:r>
      <w:r>
        <w:rPr>
          <w:lang w:val="ru-RU"/>
        </w:rPr>
        <w:t xml:space="preserve">, и имеют место соотношения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2.40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73154224" r:id="rId234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7" w:name="ZEqnNum718199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41</w:instrText>
        </w:r>
      </w:fldSimple>
      <w:r>
        <w:instrText>)</w:instrText>
      </w:r>
      <w:bookmarkEnd w:id="27"/>
      <w:r w:rsidR="00F62463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73154225" r:id="rId236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8" w:name="ZEqnNum32468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42</w:instrText>
        </w:r>
      </w:fldSimple>
      <w:r>
        <w:instrText>)</w:instrText>
      </w:r>
      <w:bookmarkEnd w:id="28"/>
      <w:r w:rsidR="00F62463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73154226" r:id="rId238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29" w:name="ZEqnNum296827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43</w:instrText>
        </w:r>
      </w:fldSimple>
      <w:r>
        <w:instrText>)</w:instrText>
      </w:r>
      <w:bookmarkEnd w:id="29"/>
      <w:r w:rsidR="00F62463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2.41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73154227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73154228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73154229" r:id="rId244"/>
        </w:objec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30" w:name="ZEqnNum808296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44</w:instrText>
        </w:r>
      </w:fldSimple>
      <w:r>
        <w:instrText>)</w:instrText>
      </w:r>
      <w:bookmarkEnd w:id="30"/>
      <w:r w:rsidR="00F62463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2.44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73154230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73154231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73154232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F62463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2.42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73154233" r:id="rId252"/>
        </w:object>
      </w:r>
      <w:r>
        <w:t>.</w:t>
      </w:r>
      <w:r>
        <w:tab/>
      </w:r>
      <w:r w:rsidR="00F62463">
        <w:fldChar w:fldCharType="begin"/>
      </w:r>
      <w:r>
        <w:instrText xml:space="preserve"> MACROBUTTON MTPlaceRef \* MERGEFORMAT </w:instrText>
      </w:r>
      <w:r w:rsidR="00F62463">
        <w:fldChar w:fldCharType="begin"/>
      </w:r>
      <w:r>
        <w:instrText xml:space="preserve"> SEQ MTEqn \h \* MERGEFORMAT </w:instrText>
      </w:r>
      <w:r w:rsidR="00F62463">
        <w:fldChar w:fldCharType="end"/>
      </w:r>
      <w:bookmarkStart w:id="31" w:name="ZEqnNum224105"/>
      <w:r>
        <w:instrText>(</w:instrText>
      </w:r>
      <w:fldSimple w:instr=" SEQ MTChap \c \* Arabic \* MERGEFORMAT ">
        <w:r w:rsidR="00C304DF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C304DF">
          <w:rPr>
            <w:noProof/>
          </w:rPr>
          <w:instrText>45</w:instrText>
        </w:r>
      </w:fldSimple>
      <w:r>
        <w:instrText>)</w:instrText>
      </w:r>
      <w:bookmarkEnd w:id="31"/>
      <w:r w:rsidR="00F62463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F62463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2.45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73154234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73154235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F62463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C304DF" w:rsidRPr="00C304DF">
          <w:rPr>
            <w:lang w:val="ru-RU"/>
          </w:rPr>
          <w:instrText>(</w:instrText>
        </w:r>
        <w:r w:rsidR="00C304DF" w:rsidRPr="00C304DF">
          <w:rPr>
            <w:noProof/>
            <w:lang w:val="ru-RU"/>
          </w:rPr>
          <w:instrText>2</w:instrText>
        </w:r>
        <w:r w:rsidR="00C304DF" w:rsidRPr="00C304DF">
          <w:rPr>
            <w:lang w:val="ru-RU"/>
          </w:rPr>
          <w:instrText>.</w:instrText>
        </w:r>
        <w:r w:rsidR="00C304DF" w:rsidRPr="00C304DF">
          <w:rPr>
            <w:noProof/>
            <w:lang w:val="ru-RU"/>
          </w:rPr>
          <w:instrText>43</w:instrText>
        </w:r>
        <w:r w:rsidR="00C304DF" w:rsidRPr="00C304DF">
          <w:rPr>
            <w:lang w:val="ru-RU"/>
          </w:rPr>
          <w:instrText>)</w:instrText>
        </w:r>
      </w:fldSimple>
      <w:r w:rsidR="00F62463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73154236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73154237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73154238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73154239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73154240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73154241" r:id="rId268"/>
        </w:object>
      </w:r>
      <w:r w:rsidRPr="0074356B">
        <w:rPr>
          <w:lang w:val="ru-RU"/>
        </w:rPr>
        <w:t>.</w:t>
      </w:r>
    </w:p>
    <w:p w:rsidR="009A4C9E" w:rsidRPr="00C304DF" w:rsidRDefault="009A4C9E" w:rsidP="0074356B">
      <w:pPr>
        <w:rPr>
          <w:lang w:val="ru-RU"/>
        </w:rPr>
      </w:pPr>
    </w:p>
    <w:p w:rsidR="00607C0A" w:rsidRPr="000F4602" w:rsidRDefault="00607C0A">
      <w:pPr>
        <w:rPr>
          <w:rFonts w:cs="Times New Roman"/>
          <w:szCs w:val="28"/>
          <w:lang w:val="ru-RU"/>
        </w:rPr>
      </w:pPr>
      <w:r w:rsidRPr="000F4602">
        <w:rPr>
          <w:rFonts w:cs="Times New Roman"/>
          <w:szCs w:val="28"/>
          <w:lang w:val="ru-RU"/>
        </w:rPr>
        <w:br w:type="page"/>
      </w: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5" w:author="iliar_turdushev" w:date="2017-11-25T22:18:00Z" w:initials="i">
    <w:p w:rsidR="00F150E9" w:rsidRPr="00F150E9" w:rsidRDefault="00F150E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Данные соотношения не доказывают единственность давления на невозмущенной поверхности. Чтобы доказать единственность, нужны </w:t>
      </w:r>
      <w:r w:rsidR="00C32DF0">
        <w:rPr>
          <w:lang w:val="ru-RU"/>
        </w:rPr>
        <w:t>дополнительные условия.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0502E"/>
    <w:multiLevelType w:val="hybridMultilevel"/>
    <w:tmpl w:val="48B0D4A2"/>
    <w:lvl w:ilvl="0" w:tplc="1D9A1DFA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2DFD"/>
    <w:rsid w:val="00062FA8"/>
    <w:rsid w:val="00063194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31D3"/>
    <w:rsid w:val="001748BB"/>
    <w:rsid w:val="001751FC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5D0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7021C"/>
    <w:rsid w:val="002707CD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3716"/>
    <w:rsid w:val="002A371B"/>
    <w:rsid w:val="002A37BC"/>
    <w:rsid w:val="002A3B2F"/>
    <w:rsid w:val="002A3FD5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7742"/>
    <w:rsid w:val="002D1096"/>
    <w:rsid w:val="002D1896"/>
    <w:rsid w:val="002D18C6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B7E"/>
    <w:rsid w:val="0037638B"/>
    <w:rsid w:val="00376AFA"/>
    <w:rsid w:val="003801CD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5779D"/>
    <w:rsid w:val="0056059D"/>
    <w:rsid w:val="00561E4A"/>
    <w:rsid w:val="0056284C"/>
    <w:rsid w:val="00562F7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411"/>
    <w:rsid w:val="005876AB"/>
    <w:rsid w:val="00590B15"/>
    <w:rsid w:val="00591FA5"/>
    <w:rsid w:val="005922AE"/>
    <w:rsid w:val="005936C2"/>
    <w:rsid w:val="00593E61"/>
    <w:rsid w:val="0059456D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5305"/>
    <w:rsid w:val="005D5494"/>
    <w:rsid w:val="005D6211"/>
    <w:rsid w:val="005D75CD"/>
    <w:rsid w:val="005D7CB2"/>
    <w:rsid w:val="005E00BE"/>
    <w:rsid w:val="005E0D18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4FC2"/>
    <w:rsid w:val="00635203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8FF"/>
    <w:rsid w:val="00677C15"/>
    <w:rsid w:val="00677E57"/>
    <w:rsid w:val="00677F30"/>
    <w:rsid w:val="006816A1"/>
    <w:rsid w:val="006818A8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5BA"/>
    <w:rsid w:val="006A7851"/>
    <w:rsid w:val="006B15A6"/>
    <w:rsid w:val="006B1BD1"/>
    <w:rsid w:val="006B2828"/>
    <w:rsid w:val="006B3AF8"/>
    <w:rsid w:val="006B492C"/>
    <w:rsid w:val="006B4ED2"/>
    <w:rsid w:val="006B683B"/>
    <w:rsid w:val="006B7527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7E59"/>
    <w:rsid w:val="006E1B45"/>
    <w:rsid w:val="006E2253"/>
    <w:rsid w:val="006E23D6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CB4"/>
    <w:rsid w:val="006F77BA"/>
    <w:rsid w:val="00703559"/>
    <w:rsid w:val="00703D56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7B58"/>
    <w:rsid w:val="007B7F61"/>
    <w:rsid w:val="007C00A5"/>
    <w:rsid w:val="007C318F"/>
    <w:rsid w:val="007C34A9"/>
    <w:rsid w:val="007C3563"/>
    <w:rsid w:val="007C41E2"/>
    <w:rsid w:val="007C4241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6DCB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90298"/>
    <w:rsid w:val="00890425"/>
    <w:rsid w:val="0089155D"/>
    <w:rsid w:val="008919BB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17F0"/>
    <w:rsid w:val="00901D1A"/>
    <w:rsid w:val="009024D0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20143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115F"/>
    <w:rsid w:val="00992415"/>
    <w:rsid w:val="00992AB2"/>
    <w:rsid w:val="009940D0"/>
    <w:rsid w:val="00994166"/>
    <w:rsid w:val="009948DC"/>
    <w:rsid w:val="00994F1B"/>
    <w:rsid w:val="00995020"/>
    <w:rsid w:val="009A059D"/>
    <w:rsid w:val="009A0CFE"/>
    <w:rsid w:val="009A18B6"/>
    <w:rsid w:val="009A2E29"/>
    <w:rsid w:val="009A3B9F"/>
    <w:rsid w:val="009A46A9"/>
    <w:rsid w:val="009A4719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487"/>
    <w:rsid w:val="00A43ED1"/>
    <w:rsid w:val="00A4535C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30CE"/>
    <w:rsid w:val="00A93F3E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4441"/>
    <w:rsid w:val="00B15D28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BB9"/>
    <w:rsid w:val="00B4178E"/>
    <w:rsid w:val="00B41D60"/>
    <w:rsid w:val="00B4208E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652"/>
    <w:rsid w:val="00B65AF4"/>
    <w:rsid w:val="00B65B45"/>
    <w:rsid w:val="00B65BD6"/>
    <w:rsid w:val="00B66318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53051"/>
    <w:rsid w:val="00C535BF"/>
    <w:rsid w:val="00C53DE4"/>
    <w:rsid w:val="00C54BF4"/>
    <w:rsid w:val="00C558B0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215C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7E9"/>
    <w:rsid w:val="00E52203"/>
    <w:rsid w:val="00E52FA8"/>
    <w:rsid w:val="00E54380"/>
    <w:rsid w:val="00E5456C"/>
    <w:rsid w:val="00E54F4F"/>
    <w:rsid w:val="00E55249"/>
    <w:rsid w:val="00E562C1"/>
    <w:rsid w:val="00E5690E"/>
    <w:rsid w:val="00E56C74"/>
    <w:rsid w:val="00E620F4"/>
    <w:rsid w:val="00E6281F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5F74"/>
    <w:rsid w:val="00E96A90"/>
    <w:rsid w:val="00E96B75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6C1"/>
    <w:rsid w:val="00F226B2"/>
    <w:rsid w:val="00F22A11"/>
    <w:rsid w:val="00F22A95"/>
    <w:rsid w:val="00F24EEC"/>
    <w:rsid w:val="00F26078"/>
    <w:rsid w:val="00F26204"/>
    <w:rsid w:val="00F277FE"/>
    <w:rsid w:val="00F30097"/>
    <w:rsid w:val="00F30A92"/>
    <w:rsid w:val="00F31059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3E55"/>
    <w:rsid w:val="00F53E8D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7600"/>
    <w:rsid w:val="00F67848"/>
    <w:rsid w:val="00F7008A"/>
    <w:rsid w:val="00F70ACA"/>
    <w:rsid w:val="00F71671"/>
    <w:rsid w:val="00F72286"/>
    <w:rsid w:val="00F73583"/>
    <w:rsid w:val="00F749BB"/>
    <w:rsid w:val="00F74B83"/>
    <w:rsid w:val="00F750B8"/>
    <w:rsid w:val="00F7519E"/>
    <w:rsid w:val="00F751E6"/>
    <w:rsid w:val="00F75507"/>
    <w:rsid w:val="00F756EE"/>
    <w:rsid w:val="00F76AA4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1.bin"/><Relationship Id="rId269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270" Type="http://schemas.openxmlformats.org/officeDocument/2006/relationships/theme" Target="theme/theme1.xml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65" Type="http://schemas.openxmlformats.org/officeDocument/2006/relationships/image" Target="media/image130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5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comments" Target="comments.xml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321D0-30FD-4914-AFEA-057C98F3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8684</TotalTime>
  <Pages>12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251</cp:revision>
  <dcterms:created xsi:type="dcterms:W3CDTF">2017-10-15T12:08:00Z</dcterms:created>
  <dcterms:modified xsi:type="dcterms:W3CDTF">2017-11-25T16:18:00Z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