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rial" w:hAnsi="Arial" w:eastAsia="Arial"/>
          <w:b/>
          <w:color w:val="1F2F47"/>
          <w:sz w:val="56"/>
        </w:rPr>
        <w:t>SOLIDARCAD</w:t>
      </w:r>
    </w:p>
    <w:p>
      <w:pPr>
        <w:jc w:val="center"/>
      </w:pPr>
      <w:r>
        <w:rPr>
          <w:rFonts w:ascii="Arial" w:hAnsi="Arial" w:eastAsia="Arial"/>
          <w:b/>
          <w:color w:val="305496"/>
          <w:sz w:val="40"/>
        </w:rPr>
        <w:t>Техническая документация</w:t>
        <w:br/>
        <w:t>и обновлённая дорожная карта</w:t>
      </w:r>
    </w:p>
    <w:p>
      <w:pPr>
        <w:spacing w:before="160"/>
        <w:jc w:val="center"/>
      </w:pPr>
      <w:r>
        <w:rPr>
          <w:rFonts w:ascii="Arial" w:hAnsi="Arial" w:eastAsia="Arial"/>
          <w:color w:val="232323"/>
          <w:sz w:val="22"/>
        </w:rPr>
        <w:t>с учётом подготовки к Единому реестру российских программ для ЭВМ и баз данных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7F1E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1F2F47"/>
                <w:sz w:val="21"/>
              </w:rPr>
              <w:t>Статус документа</w:t>
            </w:r>
          </w:p>
          <w:p>
            <w:pPr>
              <w:spacing w:after="0"/>
            </w:pPr>
            <w:r>
              <w:rPr>
                <w:rFonts w:ascii="Arial" w:hAnsi="Arial" w:eastAsia="Arial"/>
                <w:color w:val="232323"/>
                <w:sz w:val="19"/>
              </w:rPr>
              <w:t>Рабочая техническая спецификация проекта. Фиксирует текущий технологический стек, политику зависимостей и лицензирования, требования к инфраструктуре, контрольные точки реестровой готовности и интегрирует их в ранее утверждённый график разработки.</w:t>
            </w:r>
          </w:p>
        </w:tc>
      </w:tr>
    </w:tbl>
    <w:p>
      <w:pPr>
        <w:spacing w:after="20"/>
      </w:pPr>
    </w:p>
    <w:p>
      <w:pPr>
        <w:spacing w:before="320"/>
        <w:jc w:val="center"/>
      </w:pPr>
      <w:r>
        <w:rPr>
          <w:rFonts w:ascii="Arial" w:hAnsi="Arial" w:eastAsia="Arial"/>
          <w:color w:val="646464"/>
          <w:sz w:val="20"/>
        </w:rPr>
        <w:t>Редакция: 27 августа 2026 г.</w:t>
      </w:r>
    </w:p>
    <w:p>
      <w:pPr>
        <w:jc w:val="center"/>
      </w:pPr>
      <w:r>
        <w:rPr>
          <w:rFonts w:ascii="Arial" w:hAnsi="Arial" w:eastAsia="Arial"/>
          <w:color w:val="646464"/>
          <w:sz w:val="20"/>
        </w:rPr>
        <w:t>Проект: SolidarCAD / «Солидарность CAD»</w:t>
      </w:r>
    </w:p>
    <w:p>
      <w:r>
        <w:br w:type="page"/>
      </w:r>
    </w:p>
    <w:p>
      <w:pPr>
        <w:pStyle w:val="Heading1"/>
      </w:pPr>
      <w:r>
        <w:t>1. Назначение и цели документа</w:t>
      </w:r>
    </w:p>
    <w:p>
      <w:r>
        <w:t>Документ определяет технические и организационные требования к дальнейшей разработке SolidarCAD, чтобы развитие CAD-системы не создавало препятствий для будущего включения продукта в Единый реестр российских программ. Требования реестра рассматриваются как архитектурное ограничение проекта, а не как отдельная задача, которую нужно решать после завершения продукта.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AF4E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1F2F47"/>
                <w:sz w:val="21"/>
              </w:rPr>
              <w:t>Ключевой принцип</w:t>
            </w:r>
          </w:p>
          <w:p>
            <w:pPr>
              <w:spacing w:after="0"/>
            </w:pPr>
            <w:r>
              <w:rPr>
                <w:rFonts w:ascii="Arial" w:hAnsi="Arial" w:eastAsia="Arial"/>
                <w:color w:val="232323"/>
                <w:sz w:val="19"/>
              </w:rPr>
              <w:t>Не требуется отказываться от открытых библиотек. Требуется сохранять контроль над ключевым функционалом SolidarCAD, не допускать критических закрытых иностранных runtime/SaaS-зависимостей, документировать лицензии и обеспечить российскую цепочку хранения исходников, сборки и лицензирования к моменту подачи.</w:t>
            </w:r>
          </w:p>
        </w:tc>
      </w:tr>
    </w:tbl>
    <w:p>
      <w:pPr>
        <w:spacing w:after="20"/>
      </w:pPr>
    </w:p>
    <w:p>
      <w:pPr>
        <w:pStyle w:val="Heading1"/>
      </w:pPr>
      <w:r>
        <w:t>2. Текущая архитектура проекта</w:t>
      </w:r>
    </w:p>
    <w:p>
      <w:r>
        <w:t>По текущему main-branch репозитория проект построен как модульное C++20-приложение на CMake. Внешний GUI-стек — Qt 6, геометрическое ядро — Open CASCADE Technology (OCCT). OCCT устанавливается через vcpkg; в manifest указан opencascade без default features.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1F2F47"/>
                <w:sz w:val="16"/>
              </w:rPr>
              <w:t>Модуль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1F2F47"/>
                <w:sz w:val="16"/>
              </w:rPr>
              <w:t>Назначение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1F2F47"/>
                <w:sz w:val="16"/>
              </w:rPr>
              <w:t>Зависимости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solidar_model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Параметрическая модель, Sketch, solver, Feature-дерево, Extrude/Pocket/Fillet, макросы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Собственный код + OCCT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solidar_project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Формат проекта .solidar, импорт/экспорт, STL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Собственный код + Qt Core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solidar_sketch_ui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Интерфейс Sketcher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Собственный код + Qt Widgets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solidar_drawing_ui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Чертежи, ЕСКД-рендер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Собственный код + Qt Widgets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solidar_viewport3d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3D viewport и mesh-отрисовка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Собственный код + Qt Widgets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solidar_editor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Главное окно, редактор, интеграция модулей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Собственный код + Qt PrintSupport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solidar_home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Стартовое окно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Собственный код + Qt Widgets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solidar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Исполняемый файл приложения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Линкует внутренние модули</w:t>
            </w:r>
          </w:p>
        </w:tc>
      </w:tr>
    </w:tbl>
    <w:p>
      <w:pPr>
        <w:spacing w:after="20"/>
      </w:pPr>
    </w:p>
    <w:p>
      <w:pPr>
        <w:pStyle w:val="Heading2"/>
      </w:pPr>
      <w:r>
        <w:t>2.1. Текущие внешние зависимости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tblHeader w:val="true"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1F2F47"/>
                <w:sz w:val="16"/>
              </w:rPr>
              <w:t>Компонент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1F2F47"/>
                <w:sz w:val="16"/>
              </w:rPr>
              <w:t>Роль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1F2F47"/>
                <w:sz w:val="16"/>
              </w:rPr>
              <w:t>Лицензионный/правовой статус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1F2F47"/>
                <w:sz w:val="16"/>
              </w:rPr>
              <w:t>Решение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Qt 6.5+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Widgets, OpenGLWidgets, PrintSupport, Core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LGPLv3 / коммерческая лицензия в зависимости от режима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Оставить; применять динамическую поставку и вести атрибуции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Open CASCADE Technology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B-Rep, topology, boolean, fillet, mesh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LGPL 2.1 + Open CASCADE exception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Оставить; зафиксировать версию и лицензионные обязательства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vcpkg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Управление зависимостью OCCT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Инструмент сборки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Оставить; фиксировать baseline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CMake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Система сборки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Инструмент сборки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Оставить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MSVC / GCC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Компиляторы Windows/Linux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Инструменты сборки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Оставить; релизную сборку РФ организовать отдельно</w:t>
            </w:r>
          </w:p>
        </w:tc>
      </w:tr>
    </w:tbl>
    <w:p>
      <w:pPr>
        <w:spacing w:after="20"/>
      </w:pPr>
    </w:p>
    <w:p>
      <w:pPr>
        <w:pStyle w:val="Heading1"/>
      </w:pPr>
      <w:r>
        <w:t>3. Политика сторонних зависимостей</w:t>
      </w:r>
    </w:p>
    <w:p>
      <w:r>
        <w:t>Начиная с этой редакции документа, добавление новой сторонней библиотеки считается архитектурным решением и должно проходить обязательную проверку до включения в main.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Предпочтительные лицензии: MIT, BSD, Apache-2.0 и иные разрешительные лицензии; LGPL — при заранее проверенной схеме использования.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GPL-компоненты не должны линковаться с закрытым кодом SolidarCAD без отдельного юридического и архитектурного решения.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Запрещается делать работу базового CAD зависимой от иностранного облачного API, зарубежного license-server или SaaS.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Закрытые иностранные SDK допускаются только после письменного анализа рисков; по умолчанию — не использовать.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Каждая зависимость должна иметь владельца, точную версию, лицензию, URL источника, назначение и способ линковки в DEPENDENCIES.md.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Для каждого релиза формируется THIRD_PARTY_NOTICES и SBOM.</w:t>
      </w:r>
    </w:p>
    <w:p>
      <w:pPr>
        <w:pStyle w:val="Heading2"/>
      </w:pPr>
      <w:r>
        <w:t>3.1. Чек-лист добавления новой библиотеки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1F2F47"/>
                <w:sz w:val="16"/>
              </w:rPr>
              <w:t>№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1F2F47"/>
                <w:sz w:val="16"/>
              </w:rPr>
              <w:t>Проверка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1F2F47"/>
                <w:sz w:val="16"/>
              </w:rPr>
              <w:t>Критерий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1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Функциональная необходимость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Можно ли реализовать функцию собственным кодом или уже имеющимся компонентом?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2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Лицензия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Разрешает ли коммерческое/закрытое распространение выбранная схема?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3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Контроль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Может ли правообладатель удалённо отключить, отозвать или ограничить работу компонента?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4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Runtime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Требуется ли внешний сервер/активация/облачный сервис для обычной работы?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5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География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Можно ли полностью собрать и эксплуатировать продукт в РФ без зарубежной инфраструктуры?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6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Замещаемость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Есть ли адаптер/абстракция, позволяющая заменить библиотеку без переписывания доменной логики?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7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Документация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Добавлены ли запись в DEPENDENCIES.md, лицензия и атрибуции?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8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SBOM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Попадает ли компонент в генерируемый SBOM релиза?</w:t>
            </w:r>
          </w:p>
        </w:tc>
      </w:tr>
    </w:tbl>
    <w:p>
      <w:pPr>
        <w:spacing w:after="20"/>
      </w:pPr>
    </w:p>
    <w:p>
      <w:pPr>
        <w:pStyle w:val="Heading1"/>
      </w:pPr>
      <w:r>
        <w:t>4. Лицензионная стратегия</w:t>
      </w:r>
    </w:p>
    <w:p>
      <w:r>
        <w:t>Лицензия на собственный код SolidarCAD должна быть выбрана отдельно от лицензий Qt и OCCT. До принятия бизнес-модели не рекомендуется автоматически переводить весь проект под MPL-2.0 только потому, что эта лицензия упоминалась в раннем README.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7F1E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1F2F47"/>
                <w:sz w:val="21"/>
              </w:rPr>
              <w:t>Рекомендуемая базовая модель</w:t>
            </w:r>
          </w:p>
          <w:p>
            <w:pPr>
              <w:spacing w:after="0"/>
            </w:pPr>
            <w:r>
              <w:rPr>
                <w:rFonts w:ascii="Arial" w:hAnsi="Arial" w:eastAsia="Arial"/>
                <w:color w:val="232323"/>
                <w:sz w:val="19"/>
              </w:rPr>
              <w:t>Собственный код SolidarCAD — под контролем российского правообладателя; Qt и OCCT — отдельные сторонние компоненты с выполнением их лицензионных условий. Open-source библиотека не делает автоматически весь продукт open source.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До коммерческого релиза создать LICENSES/ и THIRD_PARTY_NOTICES.md.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В интерфейсе предусмотреть «Справка → О программе → Сторонние компоненты».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Не удалять и не скрывать обязательные copyright/license notices сторонних компонентов.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Перед первым платным релизом провести отдельный юридический аудит Qt/OCCT и фактического состава дистрибутива.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Оформить переход исключительных прав на собственный код к выбранному российскому правообладателю до подачи в реестр.</w:t>
      </w:r>
    </w:p>
    <w:p>
      <w:pPr>
        <w:pStyle w:val="Heading1"/>
      </w:pPr>
      <w:r>
        <w:t>5. SBOM и управление составом продукта</w:t>
      </w:r>
    </w:p>
    <w:p>
      <w:r>
        <w:t>SBOM (Software Bill of Materials) должен стать обязательным артефактом релиза. Он нужен не только для реестровой готовности, но и для контроля лицензий, уязвимостей и воспроизводимости сборки.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 w:val="true"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1F2F47"/>
                <w:sz w:val="17"/>
              </w:rPr>
              <w:t>Поле SBOM</w:t>
            </w:r>
          </w:p>
        </w:tc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1F2F47"/>
                <w:sz w:val="17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7"/>
              </w:rPr>
              <w:t>Имя компонента</w:t>
            </w:r>
          </w:p>
        </w:tc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7"/>
              </w:rPr>
              <w:t>Qt, OCCT, собственный модуль и т.д.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7"/>
              </w:rPr>
              <w:t>Версия</w:t>
            </w:r>
          </w:p>
        </w:tc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7"/>
              </w:rPr>
              <w:t>Точная версия/commit/baseline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7"/>
              </w:rPr>
              <w:t>Лицензия</w:t>
            </w:r>
          </w:p>
        </w:tc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7"/>
              </w:rPr>
              <w:t>SPDX identifier или точное наименование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7"/>
              </w:rPr>
              <w:t>Источник</w:t>
            </w:r>
          </w:p>
        </w:tc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7"/>
              </w:rPr>
              <w:t>Репозиторий/поставщик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7"/>
              </w:rPr>
              <w:t>Тип связи</w:t>
            </w:r>
          </w:p>
        </w:tc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7"/>
              </w:rPr>
              <w:t>Dynamic / static / tool-only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7"/>
              </w:rPr>
              <w:t>Хэш</w:t>
            </w:r>
          </w:p>
        </w:tc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7"/>
              </w:rPr>
              <w:t>Хэш поставляемого пакета/исходника при возможности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7"/>
              </w:rPr>
              <w:t>Назначение</w:t>
            </w:r>
          </w:p>
        </w:tc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7"/>
              </w:rPr>
              <w:t>Почему компонент включён в продукт</w:t>
            </w:r>
          </w:p>
        </w:tc>
      </w:tr>
    </w:tbl>
    <w:p>
      <w:pPr>
        <w:spacing w:after="20"/>
      </w:pPr>
    </w:p>
    <w:p>
      <w:pPr>
        <w:pStyle w:val="Heading1"/>
      </w:pPr>
      <w:r>
        <w:t>6. Инфраструктура исходников и сборки</w:t>
      </w:r>
    </w:p>
    <w:p>
      <w:r>
        <w:t>GitHub можно сохранить как публичную площадку и зеркало, но к моменту реестровой подачи основной контур хранения исходников, сборки и выпусков должен быть организован так, чтобы соответствовать действующим требованиям реестра и находиться под контролем российского правообладателя.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1F2F47"/>
                <w:sz w:val="16"/>
              </w:rPr>
              <w:t>Этап</w:t>
            </w:r>
          </w:p>
        </w:tc>
        <w:tc>
          <w:tcPr>
            <w:tcW w:type="dxa" w:w="5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1F2F47"/>
                <w:sz w:val="16"/>
              </w:rPr>
              <w:t>Схема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1F2F47"/>
                <w:sz w:val="16"/>
              </w:rPr>
              <w:t>Статус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Сейчас</w:t>
            </w:r>
          </w:p>
        </w:tc>
        <w:tc>
          <w:tcPr>
            <w:tcW w:type="dxa" w:w="5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GitHub — основной репозиторий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Допустимо для разработки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Closed Alpha</w:t>
            </w:r>
          </w:p>
        </w:tc>
        <w:tc>
          <w:tcPr>
            <w:tcW w:type="dxa" w:w="5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Создать российское зеркало Git и тестовый CI runner в РФ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Пилот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Public Beta</w:t>
            </w:r>
          </w:p>
        </w:tc>
        <w:tc>
          <w:tcPr>
            <w:tcW w:type="dxa" w:w="5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Автоматическая синхронизация GitHub ↔ российский Git; релизные сборки выполнять в РФ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Обязательно для release-кандидатов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1.0 / подача</w:t>
            </w:r>
          </w:p>
        </w:tc>
        <w:tc>
          <w:tcPr>
            <w:tcW w:type="dxa" w:w="5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Российский primary-repository, build artifacts, release archive, license/update services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Целевой production-контур</w:t>
            </w:r>
          </w:p>
        </w:tc>
      </w:tr>
    </w:tbl>
    <w:p>
      <w:pPr>
        <w:spacing w:after="20"/>
      </w:pPr>
    </w:p>
    <w:p>
      <w:pPr>
        <w:pStyle w:val="Heading1"/>
      </w:pPr>
      <w:r>
        <w:t>7. Платформенная стратегия</w:t>
      </w:r>
    </w:p>
    <w:p>
      <w:r>
        <w:t>Кроссплатформенность остаётся частью базовой архитектуры. Windows нужен как основной массовый desktop-таргет; Ubuntu — как основная Linux-среда разработки и тестирования. Российские Linux-дистрибутивы вводятся как отдельный сертификационно-совместимый профиль после стабилизации базового Linux-порта.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1F2F47"/>
                <w:sz w:val="16"/>
              </w:rPr>
              <w:t>Платформа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1F2F47"/>
                <w:sz w:val="16"/>
              </w:rPr>
              <w:t>Роль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1F2F47"/>
                <w:sz w:val="16"/>
              </w:rPr>
              <w:t>Срок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Windows 10/11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Основной пользовательский desktop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Непрерывно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Ubuntu LTS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Основной Linux development/test target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С осени 2026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Astra Linux / ALT Linux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Профиль российского рынка и госзаказчиков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Пилот с Public Beta; расширение к 1.0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Другие ОС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По спросу и требованиям конкретного класса реестра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После 1.0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5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1F2F47"/>
                <w:sz w:val="21"/>
              </w:rPr>
              <w:t>Важно</w:t>
            </w:r>
          </w:p>
          <w:p>
            <w:pPr>
              <w:spacing w:after="0"/>
            </w:pPr>
            <w:r>
              <w:rPr>
                <w:rFonts w:ascii="Arial" w:hAnsi="Arial" w:eastAsia="Arial"/>
                <w:color w:val="232323"/>
                <w:sz w:val="19"/>
              </w:rPr>
              <w:t>Перед фактической подачей в реестр нужно повторно проверить действующую редакцию Постановления №1236 и требования именно к тому классу ПО, к которому будет отнесён SolidarCAD. Требования меняются, а сроки совместимости с доверенными ОС зависят от категории продукта.</w:t>
            </w:r>
          </w:p>
        </w:tc>
      </w:tr>
    </w:tbl>
    <w:p>
      <w:pPr>
        <w:spacing w:after="20"/>
      </w:pPr>
    </w:p>
    <w:p>
      <w:pPr>
        <w:pStyle w:val="Heading1"/>
      </w:pPr>
      <w:r>
        <w:t>8. Облачные функции, обновления и лицензирование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Базовое 2D/3D-моделирование, открытие/сохранение локальных проектов и экспорт не должны требовать постоянного подключения к интернету.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Будущий облачный сервис должен быть опциональным слоем над локальным CAD, а не критическим runtime.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Локальный сервер для командной работы проектируется как самостоятельный развёртываемый компонент.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License/update endpoints коммерческой версии к моменту подачи должны быть развёрнуты в российской инфраструктуре и контролироваться российской стороной.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Формат .solidar и локальные данные не должны зависеть от проприетарного облачного backend.</w:t>
      </w:r>
    </w:p>
    <w:p>
      <w:pPr>
        <w:pStyle w:val="Heading1"/>
      </w:pPr>
      <w:r>
        <w:t>9. Обновлённая дорожная карта разработки</w:t>
      </w:r>
    </w:p>
    <w:p>
      <w:r>
        <w:t>Ниже сохранён ранее принятый продуктовый график. Требования реестровой готовности встроены в него так, чтобы не тормозить разработку основного CAD-функционала.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tblHeader w:val="true"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1F2F47"/>
                <w:sz w:val="15"/>
              </w:rPr>
              <w:t>Период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1F2F47"/>
                <w:sz w:val="15"/>
              </w:rPr>
              <w:t>Этап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1F2F47"/>
                <w:sz w:val="15"/>
              </w:rPr>
              <w:t>Продуктовая задача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1F2F47"/>
                <w:sz w:val="15"/>
              </w:rPr>
              <w:t>Добавленные требования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25.08.2026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Sketcher 1.0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Базовый Sketcher считается завершённым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Зафиксировать собственный solver как ключевой внутренний компонент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27–31.08.2026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Контур реестровой готовности 0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Документация зависимостей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Создать DEPENDENCIES.md, THIRD_PARTY_NOTICES.md, LICENSES/; правило проверки новых библиотек; базовый SBOM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Сентябрь 2026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3D foundation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Extrude, Pocket, размещение эскиза на грани, устойчивый OCCT backend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Зафиксировать версии Qt/OCCT; проверить динамическую поставку; начать Ubuntu CI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Октябрь 2026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3D operations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Revolve, Boolean, Fillet, Chamfer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Автоматизировать SBOM/license scan; запретить недокументированные зависимости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Ноябрь 2026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MVP foundation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STEP/STL, полноценное дерево модели, стабильность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Релизный THIRD_PARTY_NOTICES; воспроизводимая сборка; нулевые критические SaaS-зависимости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Конец ноября 2026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Первый рабочий MVP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Полный базовый цикл Sketch → Feature → Save/Load → Export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Compliance gate №1: состав продукта, лицензии и зависимости полностью описаны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Декабрь 2026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Closed Alpha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Исправление crash/data-loss, UX, тестирование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Российское Git-зеркало; пилот CI runner/build storage в РФ; подготовка release-процесса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Январь 2027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Public Beta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Публичное тестирование Windows/Linux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Релизные сборки в РФ; тест одной российской Linux-системы; прототип update/license инфраструктуры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Февраль–апрель 2027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Drawings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Чертежи, виды, размеры, ЕСКД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Тест второго российского Linux-профиля при необходимости; документировать шрифты/стандарты/лицензии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Март–май 2027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Первые платные Pro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Монетизация и пилотные клиенты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Оформить российского правообладателя, цепочку исключительных прав, договоры разработчиков; юридический аудит дистрибутива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Май–июнь 2027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SolidarCAD 1.0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Стабильный коммерческий Part Design + Drawings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Compliance gate №2: российский primary Git/build/release контур, SBOM, license notices, OS-compatibility dossier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Июнь–август 2027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Подготовка/подача в реестр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Пакет документов по стабильной версии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Проверка актуальной редакции №1236, класса ПО, прав, инфраструктуры и комплектности заявления; подача при готовности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Май–август 2027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Assemblies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Сборки и связи компонентов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Все новые библиотеки проходят dependency gate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Сентябрь 2027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SolidarCAD 1.5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Стабилизация Assemblies и расширение рынка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5"/>
              </w:rPr>
              <w:t>Поддерживать реестровый/лицензионный контур и обновлять SBOM на каждый релиз</w:t>
            </w:r>
          </w:p>
        </w:tc>
      </w:tr>
    </w:tbl>
    <w:p>
      <w:pPr>
        <w:spacing w:after="20"/>
      </w:pPr>
    </w:p>
    <w:p>
      <w:pPr>
        <w:pStyle w:val="Heading1"/>
      </w:pPr>
      <w:r>
        <w:t>10. Контрольные точки (gates)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1F2F47"/>
                <w:sz w:val="16"/>
              </w:rPr>
              <w:t>Gate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1F2F47"/>
                <w:sz w:val="16"/>
              </w:rPr>
              <w:t>Когда</w:t>
            </w:r>
          </w:p>
        </w:tc>
        <w:tc>
          <w:tcPr>
            <w:tcW w:type="dxa" w:w="5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1F2F47"/>
                <w:sz w:val="16"/>
              </w:rPr>
              <w:t>Критерии прохождения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Gate A — Dependency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До merge любой новой внешней библиотеки</w:t>
            </w:r>
          </w:p>
        </w:tc>
        <w:tc>
          <w:tcPr>
            <w:tcW w:type="dxa" w:w="5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Лицензия, runtime-контроль, замещаемость, запись в DEPENDENCIES, SBOM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Gate B — MVP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Конец ноября 2026</w:t>
            </w:r>
          </w:p>
        </w:tc>
        <w:tc>
          <w:tcPr>
            <w:tcW w:type="dxa" w:w="5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Нет недокументированных runtime-зависимостей; релиз собирается без обязательного зарубежного SaaS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Gate C — Alpha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Декабрь 2026</w:t>
            </w:r>
          </w:p>
        </w:tc>
        <w:tc>
          <w:tcPr>
            <w:tcW w:type="dxa" w:w="5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Есть российское зеркало исходников и пилот российской сборочной инфраструктуры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Gate D — Beta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Январь 2027</w:t>
            </w:r>
          </w:p>
        </w:tc>
        <w:tc>
          <w:tcPr>
            <w:tcW w:type="dxa" w:w="5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Windows + Linux CI; release build в РФ; механизм обновления не является единой точкой отказа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Gate E — 1.0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Май–июнь 2027</w:t>
            </w:r>
          </w:p>
        </w:tc>
        <w:tc>
          <w:tcPr>
            <w:tcW w:type="dxa" w:w="5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Права, лицензии, SBOM, сборка, российская инфраструктура и OS-тесты готовы к независимому аудиту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Gate F — Registry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Июнь–август 2027</w:t>
            </w:r>
          </w:p>
        </w:tc>
        <w:tc>
          <w:tcPr>
            <w:tcW w:type="dxa" w:w="5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6"/>
              </w:rPr>
              <w:t>Проверена актуальная нормативная база; подготовлен пакет заявления; устранены замечания аудита</w:t>
            </w:r>
          </w:p>
        </w:tc>
      </w:tr>
    </w:tbl>
    <w:p>
      <w:pPr>
        <w:spacing w:after="20"/>
      </w:pPr>
    </w:p>
    <w:p>
      <w:pPr>
        <w:pStyle w:val="Heading1"/>
      </w:pPr>
      <w:r>
        <w:t>11. Требования к структуре репозитория</w:t>
      </w:r>
    </w:p>
    <w:p>
      <w:r>
        <w:t>Рекомендуемая структура после внедрения compliance-контура:</w:t>
      </w:r>
    </w:p>
    <w:p>
      <w:pPr>
        <w:ind w:left="454"/>
      </w:pPr>
      <w:r>
        <w:rPr>
          <w:rFonts w:ascii="DejaVu Sans Mono" w:hAnsi="DejaVu Sans Mono" w:eastAsia="DejaVu Sans Mono"/>
          <w:color w:val="232323"/>
          <w:sz w:val="17"/>
        </w:rPr>
        <w:t>SolidarCAD/</w:t>
        <w:br/>
        <w:t>├─ src/</w:t>
        <w:br/>
        <w:t>├─ tests/</w:t>
        <w:br/>
        <w:t>├─ docs/</w:t>
        <w:br/>
        <w:t>│  ├─ architecture.md</w:t>
        <w:br/>
        <w:t>│  ├─ dependency-policy.md</w:t>
        <w:br/>
        <w:t>│  ├─ release-process.md</w:t>
        <w:br/>
        <w:t>│  └─ registry-readiness.md</w:t>
        <w:br/>
        <w:t>├─ licenses/</w:t>
        <w:br/>
        <w:t>│  ├─ Qt/</w:t>
        <w:br/>
        <w:t>│  └─ OCCT/</w:t>
        <w:br/>
        <w:t>├─ sbom/</w:t>
        <w:br/>
        <w:t>│  └─ README.md</w:t>
        <w:br/>
        <w:t>├─ DEPENDENCIES.md</w:t>
        <w:br/>
        <w:t>├─ THIRD_PARTY_NOTICES.md</w:t>
        <w:br/>
        <w:t>├─ CMakeLists.txt</w:t>
        <w:br/>
        <w:t>└─ vcpkg.json</w:t>
      </w:r>
    </w:p>
    <w:p>
      <w:pPr>
        <w:pStyle w:val="Heading1"/>
      </w:pPr>
      <w:r>
        <w:t>12. Требования к релизу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 w:val="true"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1F2F47"/>
                <w:sz w:val="17"/>
              </w:rPr>
              <w:t>Артефакт</w:t>
            </w:r>
          </w:p>
        </w:tc>
        <w:tc>
          <w:tcPr>
            <w:tcW w:type="dxa" w:w="79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1F2F47"/>
                <w:sz w:val="17"/>
              </w:rPr>
              <w:t>Обязательное содержание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7"/>
              </w:rPr>
              <w:t>Бинарный пакет</w:t>
            </w:r>
          </w:p>
        </w:tc>
        <w:tc>
          <w:tcPr>
            <w:tcW w:type="dxa" w:w="79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7"/>
              </w:rPr>
              <w:t>solidar.exe / Linux binary + необходимые runtime libraries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7"/>
              </w:rPr>
              <w:t>Лицензии</w:t>
            </w:r>
          </w:p>
        </w:tc>
        <w:tc>
          <w:tcPr>
            <w:tcW w:type="dxa" w:w="79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7"/>
              </w:rPr>
              <w:t>licenses/ с текстами лицензий реально поставляемых сторонних компонентов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7"/>
              </w:rPr>
              <w:t>Уведомления</w:t>
            </w:r>
          </w:p>
        </w:tc>
        <w:tc>
          <w:tcPr>
            <w:tcW w:type="dxa" w:w="79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7"/>
              </w:rPr>
              <w:t>THIRD_PARTY_NOTICES.md / html в дистрибутиве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7"/>
              </w:rPr>
              <w:t>SBOM</w:t>
            </w:r>
          </w:p>
        </w:tc>
        <w:tc>
          <w:tcPr>
            <w:tcW w:type="dxa" w:w="79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7"/>
              </w:rPr>
              <w:t>SPDX/CycloneDX или иной выбранный машинно-читаемый формат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7"/>
              </w:rPr>
              <w:t>Версии</w:t>
            </w:r>
          </w:p>
        </w:tc>
        <w:tc>
          <w:tcPr>
            <w:tcW w:type="dxa" w:w="79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7"/>
              </w:rPr>
              <w:t>Версия SolidarCAD + точные версии Qt/OCCT/toolchain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7"/>
              </w:rPr>
              <w:t>Хэши</w:t>
            </w:r>
          </w:p>
        </w:tc>
        <w:tc>
          <w:tcPr>
            <w:tcW w:type="dxa" w:w="79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7"/>
              </w:rPr>
              <w:t>SHA-256 релизных файлов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7"/>
              </w:rPr>
              <w:t>Сборка</w:t>
            </w:r>
          </w:p>
        </w:tc>
        <w:tc>
          <w:tcPr>
            <w:tcW w:type="dxa" w:w="79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7"/>
              </w:rPr>
              <w:t>Ссылка/идентификатор build pipeline и commit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7"/>
              </w:rPr>
              <w:t>Тесты</w:t>
            </w:r>
          </w:p>
        </w:tc>
        <w:tc>
          <w:tcPr>
            <w:tcW w:type="dxa" w:w="79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232323"/>
                <w:sz w:val="17"/>
              </w:rPr>
              <w:t>Smoke + save/load + geometry regression + platform matrix</w:t>
            </w:r>
          </w:p>
        </w:tc>
      </w:tr>
    </w:tbl>
    <w:p>
      <w:pPr>
        <w:spacing w:after="20"/>
      </w:pPr>
    </w:p>
    <w:p>
      <w:pPr>
        <w:pStyle w:val="Heading1"/>
      </w:pPr>
      <w:r>
        <w:t>13. Приоритеты ближайших работ</w:t>
      </w:r>
    </w:p>
    <w:p>
      <w:pPr>
        <w:pStyle w:val="ListNumber"/>
        <w:spacing w:after="40"/>
      </w:pPr>
      <w:r>
        <w:rPr>
          <w:rFonts w:ascii="Arial" w:hAnsi="Arial" w:eastAsia="Arial"/>
          <w:sz w:val="20"/>
        </w:rPr>
        <w:t>Добавить в репозиторий DEPENDENCIES.md и THIRD_PARTY_NOTICES.md.</w:t>
      </w:r>
    </w:p>
    <w:p>
      <w:pPr>
        <w:pStyle w:val="ListNumber"/>
        <w:spacing w:after="40"/>
      </w:pPr>
      <w:r>
        <w:rPr>
          <w:rFonts w:ascii="Arial" w:hAnsi="Arial" w:eastAsia="Arial"/>
          <w:sz w:val="20"/>
        </w:rPr>
        <w:t>Создать docs/dependency-policy.md с запретом на недокументированные критические иностранные зависимости.</w:t>
      </w:r>
    </w:p>
    <w:p>
      <w:pPr>
        <w:pStyle w:val="ListNumber"/>
        <w:spacing w:after="40"/>
      </w:pPr>
      <w:r>
        <w:rPr>
          <w:rFonts w:ascii="Arial" w:hAnsi="Arial" w:eastAsia="Arial"/>
          <w:sz w:val="20"/>
        </w:rPr>
        <w:t>Зафиксировать фактическую версию Qt и OCCT в сборке релизного профиля.</w:t>
      </w:r>
    </w:p>
    <w:p>
      <w:pPr>
        <w:pStyle w:val="ListNumber"/>
        <w:spacing w:after="40"/>
      </w:pPr>
      <w:r>
        <w:rPr>
          <w:rFonts w:ascii="Arial" w:hAnsi="Arial" w:eastAsia="Arial"/>
          <w:sz w:val="20"/>
        </w:rPr>
        <w:t>Добавить генерацию базового SBOM в CI.</w:t>
      </w:r>
    </w:p>
    <w:p>
      <w:pPr>
        <w:pStyle w:val="ListNumber"/>
        <w:spacing w:after="40"/>
      </w:pPr>
      <w:r>
        <w:rPr>
          <w:rFonts w:ascii="Arial" w:hAnsi="Arial" w:eastAsia="Arial"/>
          <w:sz w:val="20"/>
        </w:rPr>
        <w:t>Обновить README: не фиксировать лицензию собственного кода до отдельного решения правообладателя; убрать устаревшие планы, если они уже реализованы.</w:t>
      </w:r>
    </w:p>
    <w:p>
      <w:pPr>
        <w:pStyle w:val="ListNumber"/>
        <w:spacing w:after="40"/>
      </w:pPr>
      <w:r>
        <w:rPr>
          <w:rFonts w:ascii="Arial" w:hAnsi="Arial" w:eastAsia="Arial"/>
          <w:sz w:val="20"/>
        </w:rPr>
        <w:t>Сохранить динамическую поставку Qt/OCCT и не переходить к статической линковке без отдельного лицензионного аудита.</w:t>
      </w:r>
    </w:p>
    <w:p>
      <w:pPr>
        <w:pStyle w:val="ListNumber"/>
        <w:spacing w:after="40"/>
      </w:pPr>
      <w:r>
        <w:rPr>
          <w:rFonts w:ascii="Arial" w:hAnsi="Arial" w:eastAsia="Arial"/>
          <w:sz w:val="20"/>
        </w:rPr>
        <w:t>Не отвлекать основной 3D roadmap: compliance-задачи выполнять параллельно малыми итерациями.</w:t>
      </w:r>
    </w:p>
    <w:p>
      <w:pPr>
        <w:pStyle w:val="Heading1"/>
        <w:spacing w:before="120" w:after="60"/>
      </w:pPr>
      <w:r>
        <w:t>14. Нормативная и техническая база</w:t>
      </w:r>
    </w:p>
    <w:p>
      <w:r>
        <w:t>Документ составлен как техническая стратегия, а не юридическое заключение. Перед подачей заявления необходимо повторно проверить действующую нормативную базу и при необходимости привлечь профильного юриста.</w:t>
      </w:r>
    </w:p>
    <w:p>
      <w:pPr>
        <w:pStyle w:val="SmallNote"/>
        <w:spacing w:before="0" w:after="0" w:line="221" w:lineRule="auto"/>
      </w:pPr>
      <w:r>
        <w:rPr>
          <w:rFonts w:ascii="Arial" w:hAnsi="Arial" w:eastAsia="Arial"/>
          <w:color w:val="646464"/>
          <w:sz w:val="14"/>
        </w:rPr>
        <w:t>Минцифры РФ — портал Единого реестра российского ПО и раздел документов: https://reestr.digital.gov.ru/documents/</w:t>
      </w:r>
    </w:p>
    <w:p>
      <w:pPr>
        <w:pStyle w:val="SmallNote"/>
        <w:spacing w:before="0" w:after="0" w:line="221" w:lineRule="auto"/>
      </w:pPr>
      <w:r>
        <w:rPr>
          <w:rFonts w:ascii="Arial" w:hAnsi="Arial" w:eastAsia="Arial"/>
          <w:color w:val="646464"/>
          <w:sz w:val="14"/>
        </w:rPr>
        <w:t>Правительство РФ — Постановление Правительства РФ №1236 от 16.11.2015 и последующие изменения: https://government.ru/docs/20650/</w:t>
      </w:r>
    </w:p>
    <w:p>
      <w:pPr>
        <w:pStyle w:val="SmallNote"/>
        <w:spacing w:before="0" w:after="0" w:line="221" w:lineRule="auto"/>
      </w:pPr>
      <w:r>
        <w:rPr>
          <w:rFonts w:ascii="Arial" w:hAnsi="Arial" w:eastAsia="Arial"/>
          <w:color w:val="646464"/>
          <w:sz w:val="14"/>
        </w:rPr>
        <w:t>Qt 6.11 — Licensing: https://doc.qt.io/qt-6/licensing.html</w:t>
      </w:r>
    </w:p>
    <w:p>
      <w:pPr>
        <w:pStyle w:val="SmallNote"/>
        <w:spacing w:before="0" w:after="0" w:line="221" w:lineRule="auto"/>
      </w:pPr>
      <w:r>
        <w:rPr>
          <w:rFonts w:ascii="Arial" w:hAnsi="Arial" w:eastAsia="Arial"/>
          <w:color w:val="646464"/>
          <w:sz w:val="14"/>
        </w:rPr>
        <w:t>Qt — Third-Party Code Used in Qt: https://doc.qt.io/qt-6/licenses-used-in-qt.html</w:t>
      </w:r>
    </w:p>
    <w:p>
      <w:pPr>
        <w:pStyle w:val="SmallNote"/>
        <w:spacing w:before="0" w:after="0" w:line="221" w:lineRule="auto"/>
      </w:pPr>
      <w:r>
        <w:rPr>
          <w:rFonts w:ascii="Arial" w:hAnsi="Arial" w:eastAsia="Arial"/>
          <w:color w:val="646464"/>
          <w:sz w:val="14"/>
        </w:rPr>
        <w:t>Qt — Software Bill of Materials: https://doc.qt.io/qt-6/sbom.html</w:t>
      </w:r>
    </w:p>
    <w:p>
      <w:pPr>
        <w:pStyle w:val="SmallNote"/>
        <w:spacing w:before="0" w:after="0" w:line="221" w:lineRule="auto"/>
      </w:pPr>
      <w:r>
        <w:rPr>
          <w:rFonts w:ascii="Arial" w:hAnsi="Arial" w:eastAsia="Arial"/>
          <w:color w:val="646464"/>
          <w:sz w:val="14"/>
        </w:rPr>
        <w:t>Open CASCADE Technology — Licensing: https://dev.opencascade.org/resources/licensing</w:t>
      </w:r>
    </w:p>
    <w:p>
      <w:pPr>
        <w:pStyle w:val="Heading1"/>
        <w:spacing w:before="120" w:after="60"/>
      </w:pPr>
      <w:r>
        <w:t>15. Итоговое архитектурное правило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AF4E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1F2F47"/>
                <w:sz w:val="21"/>
              </w:rPr>
              <w:t>Политика SolidarCAD</w:t>
            </w:r>
          </w:p>
          <w:p>
            <w:pPr>
              <w:spacing w:after="0"/>
            </w:pPr>
            <w:r>
              <w:rPr>
                <w:rFonts w:ascii="Arial" w:hAnsi="Arial"/>
              </w:rPr>
              <w:t>SolidarCAD может использовать open-source компоненты. Ключевой CAD-функционал, данные и рабочий цикл должны оставаться под контролем проекта; критические закрытые иностранные runtime/SaaS-зависимости запрещены. Новая зависимость проходит лицензионный и инфраструктурный gate до merge.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85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46464"/>
        <w:sz w:val="16"/>
      </w:rPr>
      <w:t xml:space="preserve">SolidarCAD · редакция 27.08.2026 · стр. </w:t>
    </w:r>
    <w:r>
      <w:rPr>
        <w:rFonts w:ascii="Arial" w:hAnsi="Arial" w:eastAsia="Arial"/>
        <w:color w:val="646464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646464"/>
        <w:sz w:val="16"/>
      </w:rPr>
      <w:t>SolidarCAD · техническая документация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2F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30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3232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F2F4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rial" w:hAnsi="Arial"/>
      <w:color w:val="646464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SolidarCAD — техническая документация и дорожная карта подготовки к реестру российского ПО</dc:title>
  <dc:subject>Архитектура, зависимости, лицензирование, SBOM, инфраструктура и обновлённый график разработки</dc:subject>
  <dc:creator>SolidarCAD project</dc:creator>
  <cp:keywords>SolidarCAD, CAD, техническая документация, реестр российского ПО, Qt, OpenCASCADE, SBOM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