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7D2" w:rsidRDefault="000377D2" w:rsidP="000377D2">
      <w:pPr>
        <w:shd w:val="clear" w:color="auto" w:fill="FFFFFF"/>
        <w:spacing w:before="161" w:after="96" w:line="264" w:lineRule="atLeast"/>
        <w:ind w:firstLine="708"/>
        <w:jc w:val="center"/>
        <w:outlineLvl w:val="0"/>
        <w:rPr>
          <w:rFonts w:ascii="Arial" w:eastAsia="Times New Roman" w:hAnsi="Arial" w:cs="Arial"/>
          <w:color w:val="0D6DAB"/>
          <w:kern w:val="36"/>
          <w:sz w:val="54"/>
          <w:szCs w:val="54"/>
          <w:lang w:eastAsia="ru-RU"/>
        </w:rPr>
      </w:pPr>
    </w:p>
    <w:p w:rsidR="000377D2" w:rsidRDefault="000377D2" w:rsidP="000377D2">
      <w:pPr>
        <w:shd w:val="clear" w:color="auto" w:fill="FFFFFF"/>
        <w:spacing w:before="161" w:after="96" w:line="264" w:lineRule="atLeast"/>
        <w:ind w:firstLine="708"/>
        <w:jc w:val="center"/>
        <w:outlineLvl w:val="0"/>
        <w:rPr>
          <w:rFonts w:ascii="Arial" w:eastAsia="Times New Roman" w:hAnsi="Arial" w:cs="Arial"/>
          <w:color w:val="0D6DAB"/>
          <w:kern w:val="36"/>
          <w:sz w:val="54"/>
          <w:szCs w:val="54"/>
          <w:lang w:eastAsia="ru-RU"/>
        </w:rPr>
      </w:pPr>
    </w:p>
    <w:p w:rsidR="000377D2" w:rsidRDefault="000377D2" w:rsidP="000377D2">
      <w:pPr>
        <w:shd w:val="clear" w:color="auto" w:fill="FFFFFF"/>
        <w:spacing w:before="161" w:after="96" w:line="264" w:lineRule="atLeast"/>
        <w:ind w:firstLine="708"/>
        <w:jc w:val="center"/>
        <w:outlineLvl w:val="0"/>
        <w:rPr>
          <w:rFonts w:ascii="Arial" w:eastAsia="Times New Roman" w:hAnsi="Arial" w:cs="Arial"/>
          <w:color w:val="0D6DAB"/>
          <w:kern w:val="36"/>
          <w:sz w:val="54"/>
          <w:szCs w:val="54"/>
          <w:lang w:eastAsia="ru-RU"/>
        </w:rPr>
      </w:pPr>
    </w:p>
    <w:p w:rsidR="00F34445" w:rsidRPr="00F34445" w:rsidRDefault="00F34445" w:rsidP="000377D2">
      <w:pPr>
        <w:shd w:val="clear" w:color="auto" w:fill="FFFFFF"/>
        <w:spacing w:before="161" w:after="96" w:line="264" w:lineRule="atLeast"/>
        <w:ind w:firstLine="708"/>
        <w:jc w:val="center"/>
        <w:outlineLvl w:val="0"/>
        <w:rPr>
          <w:rFonts w:ascii="Arial" w:eastAsia="Times New Roman" w:hAnsi="Arial" w:cs="Arial"/>
          <w:color w:val="0D6DAB"/>
          <w:kern w:val="36"/>
          <w:sz w:val="54"/>
          <w:szCs w:val="54"/>
          <w:lang w:eastAsia="ru-RU"/>
        </w:rPr>
      </w:pPr>
      <w:r w:rsidRPr="00F34445">
        <w:rPr>
          <w:rFonts w:ascii="Arial" w:eastAsia="Times New Roman" w:hAnsi="Arial" w:cs="Arial"/>
          <w:color w:val="0D6DAB"/>
          <w:kern w:val="36"/>
          <w:sz w:val="54"/>
          <w:szCs w:val="54"/>
          <w:lang w:eastAsia="ru-RU"/>
        </w:rPr>
        <w:t xml:space="preserve">Расчет </w:t>
      </w:r>
      <w:proofErr w:type="spellStart"/>
      <w:r w:rsidRPr="00F34445">
        <w:rPr>
          <w:rFonts w:ascii="Arial" w:eastAsia="Times New Roman" w:hAnsi="Arial" w:cs="Arial"/>
          <w:color w:val="0D6DAB"/>
          <w:kern w:val="36"/>
          <w:sz w:val="54"/>
          <w:szCs w:val="54"/>
          <w:lang w:eastAsia="ru-RU"/>
        </w:rPr>
        <w:t>дифферентовки</w:t>
      </w:r>
      <w:proofErr w:type="spellEnd"/>
      <w:r w:rsidRPr="00F34445">
        <w:rPr>
          <w:rFonts w:ascii="Arial" w:eastAsia="Times New Roman" w:hAnsi="Arial" w:cs="Arial"/>
          <w:color w:val="0D6DAB"/>
          <w:kern w:val="36"/>
          <w:sz w:val="54"/>
          <w:szCs w:val="54"/>
          <w:lang w:eastAsia="ru-RU"/>
        </w:rPr>
        <w:t xml:space="preserve"> подводной лодки</w:t>
      </w:r>
    </w:p>
    <w:p w:rsidR="000377D2" w:rsidRDefault="000377D2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251950" cy="6167967"/>
            <wp:effectExtent l="19050" t="0" r="6350" b="0"/>
            <wp:docPr id="1" name="Рисунок 1" descr="Подводная лодка проекта 877 Дмитров в м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водная лодка проекта 877 Дмитров в море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616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D2" w:rsidRDefault="000377D2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</w:p>
    <w:p w:rsidR="000377D2" w:rsidRDefault="000377D2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</w:p>
    <w:p w:rsidR="000377D2" w:rsidRDefault="000377D2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Условия равновесия подводной лодки в подводном положении на ровном киле могут быть записаны следующим образом: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noProof/>
          <w:color w:val="242321"/>
          <w:sz w:val="24"/>
          <w:szCs w:val="24"/>
          <w:lang w:eastAsia="ru-RU"/>
        </w:rPr>
        <w:drawing>
          <wp:inline distT="0" distB="0" distL="0" distR="0">
            <wp:extent cx="1447800" cy="552450"/>
            <wp:effectExtent l="0" t="0" r="0" b="0"/>
            <wp:docPr id="5" name="Рисунок 5" descr="Условия равновесия подводной лодки в подводном положении на ровном ки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словия равновесия подводной лодки в подводном положении на ровном кил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где: 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M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p</w:t>
      </w:r>
      <w:proofErr w:type="spellEnd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 = 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P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п</w:t>
      </w:r>
      <w:proofErr w:type="spellEnd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 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x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g</w:t>
      </w:r>
      <w:proofErr w:type="spellEnd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—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продольный момент веса подводной лодки относительно миделя, тс м;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M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v</w:t>
      </w:r>
      <w:proofErr w:type="spellEnd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 = 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γ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 V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n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 х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c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—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продольный момент силы плавучести относительно миделя, тс м.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При подготовке подводной лодки к плаванию в подводном положении необходимо проверить, будут ли выдерживаться эти условия равновесия после её погружения. Поскольку вес подводной лодки может изменяться из-за расходования переменных грузов, то даже при постоянн</w:t>
      </w:r>
      <w:r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ом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удельном весе воды γ и объемном водоизмещении 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V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n</w:t>
      </w:r>
      <w:proofErr w:type="spellEnd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,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 при погружении подводной лодки может возникнуть остаточная плавучесть 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q</w:t>
      </w:r>
      <w:proofErr w:type="spellEnd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 = γV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n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 -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 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P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п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 и избыточный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дифферентующий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момент 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Мq</w:t>
      </w:r>
      <w:proofErr w:type="spellEnd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 xml:space="preserve"> = 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Мv</w:t>
      </w:r>
      <w:proofErr w:type="spellEnd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 xml:space="preserve"> — 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Мр</w:t>
      </w:r>
      <w:proofErr w:type="spellEnd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.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Избыточный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дифферентующий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момент представляет собой разность продольных моментов силы веса и силы плавучести подводной лодки в подводном положении.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lastRenderedPageBreak/>
        <w:t>Расходование переменных грузов зависит от задач, выполняемых подводной лодкой. Для того чтобы при расходовании переменных грузов изменение веса подводной лодки было минимальным, в зависимости от характера переменных грузов и порядка их расходования в практике эксплуатации подводных лодок применяются различные способы компенсации.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Все переменные грузы по способу компенсации можно разделить на три группы: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— переменные грузы, для компенсации которых имеются специальные заместительные цистерны (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торпедозаместительные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—для компенсации расхода запасных торпед, цистерны кольцевого зазора, цистерны замещения ракет);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— переменные грузы, которые замещаются в тех же хранилищах, где они сами находятся (торпеды в торпедных аппаратах, ракеты в шахтах, топливо);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— все остальные переменные грузы, компенсация расходования которых осуществляется за счет вспомогательного балласта.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В цистернах вспомогательного балласта замещаются также все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нескомпенсированные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веса и моменты, получающиеся при замещении первых двух групп переменных грузов. Например, разность весов и моментов жидкого топлива и воды замещения. Таким образом, возникающие при расходовании переменных грузов остаточная плавучесть и избыточный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дифферентующий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момент компенсируются за счет изменения количества и расположения вспомогательного водяного балласта.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Расчет количества воды вспомогательного балласта, предназначенной для компенсации остаточной плавучести и избыточного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дифферентующего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момента, называется расчетом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дифферентовки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. Целью этого расчета является определение количества воды, которое нужно принять (откачать) и переместить между цистернами вспомогательного балласта, и вычисление итогового количества воды в этих цистернах, которое должно быть к моменту погружения. Расчет производится на основе того, что при плавании подводной лодки в одном определенном районе моря суммарный вес переменных грузов и вспомогательного балласта, а также их суммарные продольные моменты должны быть постоянными: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noProof/>
          <w:color w:val="242321"/>
          <w:sz w:val="24"/>
          <w:szCs w:val="24"/>
          <w:lang w:eastAsia="ru-RU"/>
        </w:rPr>
        <w:lastRenderedPageBreak/>
        <w:drawing>
          <wp:inline distT="0" distB="0" distL="0" distR="0">
            <wp:extent cx="1962150" cy="561975"/>
            <wp:effectExtent l="0" t="0" r="0" b="9525"/>
            <wp:docPr id="6" name="Рисунок 6" descr="https://podlodka.info/images/stories/teor_pl/image/image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odlodka.info/images/stories/teor_pl/image/image03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Расчет выполняется командиром электромеханической боевой части подводной лодки в дифферентовочном журнале, в котором учитываются вес и расположение по длине подводной лодки каждого переменного груза, в том числе и вспомогательного балласта. Производится сравнение фактической нагрузки подводной лодки с нормальной нагрузкой или с нагрузкой при последней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дифферентовке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. При этом расчет по нормальной нагрузке производится перед выходом в длительное плавание, а также после выхода из дока или длительной стоянки в базе. При нахождении подводной лодки в море или при небольшом перерыве в плавании расчет производится путем сравнивания фактической нагрузки с нагрузкой при последней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дифферентовке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.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В результате сравнения определяется изменение в весе каждого переменного груза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∆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р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пг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=</w:t>
      </w:r>
      <w:proofErr w:type="spellEnd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 xml:space="preserve"> 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р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пгф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 — 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р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пгн</w:t>
      </w:r>
      <w:proofErr w:type="spellEnd"/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 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        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где: 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р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пгф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 — фактический вес переменного груза, тс;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 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р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пгн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 — вес переменного груза при нормальной нагрузке, тс.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Вычисляется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дифферентующий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момент, создаваемый изменением веса каждого груза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∆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М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пг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=</w:t>
      </w:r>
      <w:proofErr w:type="spellEnd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 xml:space="preserve"> ∆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р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пгф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 ∙ 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х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пг</w:t>
      </w:r>
      <w:proofErr w:type="spellEnd"/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где:  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х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пг</w:t>
      </w:r>
      <w:proofErr w:type="spellEnd"/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 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- плечо переменного груза от миделя, </w:t>
      </w:r>
      <w:proofErr w:type="gram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м</w:t>
      </w:r>
      <w:proofErr w:type="gram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.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lastRenderedPageBreak/>
        <w:t>Знаки величин 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∆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р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пг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 и 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∆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М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пг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 определяются по правилам математики. При этом знак «+» перед 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∆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р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пг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 означает, что на подводной лодке данного груза больше, чем при нормальной нагрузке, а знак «-» говорит о том, что фактическая на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softHyphen/>
        <w:t>грузка меньше нормальной. Плечи переменных грузов, расположенных в нос от миделя, берутся со знаком «+», а в корму — со знаком «-». В соответствии с этим 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∆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М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пг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,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дифферентующий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подводную лодку на нос, имеет знак «+», а на корму — знак «-».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Путем сложения полученных изменений в весах переменных грузов и их моментах определяются суммарные изменения нагрузки подводной лодки по весу ∑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∆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р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пг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 и по моменту ∑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∆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М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пг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. Величина ∑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∆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р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пг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 определяет остаточную плавучесть, 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a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 ∑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∆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М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пг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 — избыточный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дифферентующий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момент. По этим величинам оценивается состояние нагрузки подводной лодки.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Если суммарное изменение веса переменных грузов окажется положительной величиной, то это значит, что подводная лодка стала тяжелее (имеет отрицательную остаточную плавучесть) и ее необходимо облегчить за счет вспомогательного балласта. При отрицательной величине изменения суммарного веса переменных грузов подводная лодка имеет положительную остаточную плавучесть и ее следует утяжелить приёмом воды в цистерны вспомогательного балласта. Знаки перед величиной избыточного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дифферентующего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мо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softHyphen/>
        <w:t>мента определяют направление его действия: «+»</w:t>
      </w:r>
      <w:proofErr w:type="gram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—н</w:t>
      </w:r>
      <w:proofErr w:type="gram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а нос, «-»—на корму.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После определения состояния подводной лодки производится расчёт распределения вспомогательного балласта. Для компенсации остаточной плавучести используются уравнительные цистерны, а для устранения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дифферентующего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момента —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дифферентные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цистерны. Исходя из полученных величин ∑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∆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р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пг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 ∑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∆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М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пг</w:t>
      </w:r>
      <w:proofErr w:type="spellEnd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,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 а также наличия воды и свободного объёма в уравнительных цистернах, принимается решение о приеме (откачке) воды в них в количестве 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∆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р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ур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, необходимом для полной компенсации ∑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∆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р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пг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. Производя компенса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softHyphen/>
        <w:t>цию подводной лодки по плавучести, следует одновременно в возможной степени компенсировать и 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дифферентующий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момент, т. е. таким образом принимать или откачивать воду вспомогательного балласта, чтобы возникающий при этом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дифферентующий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момент действовал против избыточного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дифферентующего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момента.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Момент от изменения нагрузки в уравнительной цистерне определяется по формуле: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lastRenderedPageBreak/>
        <w:t>∆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М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ур</w:t>
      </w:r>
      <w:proofErr w:type="spellEnd"/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 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= ∆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р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ур</w:t>
      </w:r>
      <w:proofErr w:type="spellEnd"/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 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 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х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ур</w:t>
      </w:r>
      <w:proofErr w:type="spellEnd"/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где: 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∆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р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ур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 —вес воды, которую надо принять (откачать) в уравнительную цистерну, тс;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 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х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ур</w:t>
      </w:r>
      <w:proofErr w:type="spellEnd"/>
      <w:r w:rsidRPr="00F34445">
        <w:rPr>
          <w:rFonts w:ascii="Arial" w:eastAsia="Times New Roman" w:hAnsi="Arial" w:cs="Arial"/>
          <w:color w:val="242321"/>
          <w:sz w:val="18"/>
          <w:szCs w:val="18"/>
          <w:vertAlign w:val="subscript"/>
          <w:lang w:eastAsia="ru-RU"/>
        </w:rPr>
        <w:t> 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—плечо уравнительной цистерны от миделя, м.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В результате компенсации остаточной плавучести подводной лодки на нее будет действовать суммарный момент, состоящий из избыточного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дифферентующего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момента и момента от изменения нагрузки в уравнительной цистерне ∑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∆М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 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= 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∑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∆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М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пг</w:t>
      </w:r>
      <w:proofErr w:type="spellEnd"/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 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+ 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∆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М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ур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. </w:t>
      </w:r>
      <w:proofErr w:type="gram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Этот момент компенсируется перегоном воды из </w:t>
      </w:r>
      <w:r w:rsidR="000377D2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дифферентовочной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цистерны той оконечности подводной лодки, на которую направлен суммарный момент, в </w:t>
      </w:r>
      <w:r w:rsidR="000377D2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дифферентовочной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цистерну другой оконечности в количестве, определяемом по формуле:</w:t>
      </w:r>
      <w:proofErr w:type="gramEnd"/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noProof/>
          <w:color w:val="242321"/>
          <w:sz w:val="24"/>
          <w:szCs w:val="24"/>
          <w:lang w:eastAsia="ru-RU"/>
        </w:rPr>
        <w:drawing>
          <wp:inline distT="0" distB="0" distL="0" distR="0">
            <wp:extent cx="1466850" cy="600075"/>
            <wp:effectExtent l="0" t="0" r="0" b="9525"/>
            <wp:docPr id="7" name="Рисунок 7" descr="https://podlodka.info/images/stories/teor_pl/image/image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odlodka.info/images/stories/teor_pl/image/image03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где: 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х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н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 и 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х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к</w:t>
      </w:r>
      <w:proofErr w:type="spellEnd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 —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 плечи носовой и кормовой </w:t>
      </w:r>
      <w:r w:rsidR="000377D2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дифферентовочной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цистерн соответственно, </w:t>
      </w:r>
      <w:proofErr w:type="gram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м</w:t>
      </w:r>
      <w:proofErr w:type="gram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.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После расчета перераспределения вспомогательного балласта определяется фактическое количество воды, которое необходимо иметь в цистернах вспомогательного балласта для того, чтобы подводная лодка была уравновешена по весу и моменту.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В ходе подготовки подводной лодки к походу и погружению принимается вода в цистерны вспомогательного балласта в соответствии с полученными данными.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Вспомогательный балласт, принятый в уравнительные и дифферентные цистерны в соответствии с расчетом, называется расчетной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дифферентовкой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.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lastRenderedPageBreak/>
        <w:t xml:space="preserve">Расчетная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дифферентовка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даже при достаточно большой точности расчетов не может быть абсолютно правильной, так как невозможно точно учесть веса и моменты всех переменных грузов. Поэтому перед выходом в море производится по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softHyphen/>
        <w:t xml:space="preserve">гружение и фактическая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дифферентовка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подводной лодки. Данные по количеству вспомогательного балласта, полученные при фактической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дифферентовке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, записываются в дифферентовочный журнал и используются как исходные при расчете очередной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дифферентовки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.</w:t>
      </w:r>
    </w:p>
    <w:p w:rsidR="000377D2" w:rsidRDefault="000377D2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</w:p>
    <w:p w:rsidR="000377D2" w:rsidRDefault="000377D2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251950" cy="6476365"/>
            <wp:effectExtent l="19050" t="0" r="6350" b="0"/>
            <wp:docPr id="4" name="Рисунок 4" descr="https://vpk.name/file/img/670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pk.name/file/img/670_1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647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lastRenderedPageBreak/>
        <w:t xml:space="preserve">В табл. 3 показан расчет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дифферентовки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подводной лодки по нормальной нагрузке при израсходовании части грузов (запасных торпед, пресной и питательной воды, провизии) и замене масла в циркуляционной масляной цистерне. Данные приведены только по тем грузам, вес которых изменился.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Таблица 3.</w:t>
      </w:r>
    </w:p>
    <w:tbl>
      <w:tblPr>
        <w:tblW w:w="108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4"/>
        <w:gridCol w:w="814"/>
        <w:gridCol w:w="775"/>
        <w:gridCol w:w="1603"/>
        <w:gridCol w:w="1700"/>
        <w:gridCol w:w="938"/>
        <w:gridCol w:w="959"/>
        <w:gridCol w:w="1077"/>
      </w:tblGrid>
      <w:tr w:rsidR="00F34445" w:rsidRPr="00F34445" w:rsidTr="00F34445"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Наименование грузов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Нормальная нагрузка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proofErr w:type="spellStart"/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Дифферен</w:t>
            </w: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softHyphen/>
              <w:t>товка</w:t>
            </w:r>
            <w:proofErr w:type="spellEnd"/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 xml:space="preserve"> за (</w:t>
            </w:r>
            <w:r w:rsidRPr="00F34445">
              <w:rPr>
                <w:rFonts w:ascii="Times New Roman" w:eastAsia="Times New Roman" w:hAnsi="Times New Roman" w:cs="Times New Roman"/>
                <w:i/>
                <w:iCs/>
                <w:color w:val="242321"/>
                <w:sz w:val="24"/>
                <w:szCs w:val="24"/>
                <w:lang w:eastAsia="ru-RU"/>
              </w:rPr>
              <w:t>дата</w:t>
            </w: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), тс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Фактическая нагрузка, тс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Изменение нагрузки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Примеч.</w:t>
            </w:r>
          </w:p>
        </w:tc>
      </w:tr>
      <w:tr w:rsidR="00F34445" w:rsidRPr="00F34445" w:rsidTr="00F34445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34445" w:rsidRPr="00F34445" w:rsidRDefault="00F34445" w:rsidP="00F34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i/>
                <w:iCs/>
                <w:color w:val="242321"/>
                <w:sz w:val="24"/>
                <w:szCs w:val="24"/>
                <w:lang w:eastAsia="ru-RU"/>
              </w:rPr>
              <w:t>р, </w:t>
            </w: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тс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i/>
                <w:iCs/>
                <w:color w:val="242321"/>
                <w:sz w:val="24"/>
                <w:szCs w:val="24"/>
                <w:lang w:eastAsia="ru-RU"/>
              </w:rPr>
              <w:t>х, </w:t>
            </w: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34445" w:rsidRPr="00F34445" w:rsidRDefault="00F34445" w:rsidP="00F34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34445" w:rsidRPr="00F34445" w:rsidRDefault="00F34445" w:rsidP="00F34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i/>
                <w:iCs/>
                <w:color w:val="242321"/>
                <w:sz w:val="24"/>
                <w:szCs w:val="24"/>
                <w:lang w:eastAsia="ru-RU"/>
              </w:rPr>
              <w:t>∆</w:t>
            </w:r>
            <w:proofErr w:type="spellStart"/>
            <w:r w:rsidRPr="00F34445">
              <w:rPr>
                <w:rFonts w:ascii="Times New Roman" w:eastAsia="Times New Roman" w:hAnsi="Times New Roman" w:cs="Times New Roman"/>
                <w:i/>
                <w:iCs/>
                <w:color w:val="242321"/>
                <w:sz w:val="24"/>
                <w:szCs w:val="24"/>
                <w:lang w:eastAsia="ru-RU"/>
              </w:rPr>
              <w:t>р</w:t>
            </w:r>
            <w:r w:rsidRPr="00F34445">
              <w:rPr>
                <w:rFonts w:ascii="Times New Roman" w:eastAsia="Times New Roman" w:hAnsi="Times New Roman" w:cs="Times New Roman"/>
                <w:i/>
                <w:iCs/>
                <w:color w:val="242321"/>
                <w:sz w:val="18"/>
                <w:szCs w:val="18"/>
                <w:vertAlign w:val="subscript"/>
                <w:lang w:eastAsia="ru-RU"/>
              </w:rPr>
              <w:t>пг</w:t>
            </w:r>
            <w:proofErr w:type="spellEnd"/>
            <w:r w:rsidRPr="00F34445">
              <w:rPr>
                <w:rFonts w:ascii="Times New Roman" w:eastAsia="Times New Roman" w:hAnsi="Times New Roman" w:cs="Times New Roman"/>
                <w:i/>
                <w:iCs/>
                <w:color w:val="242321"/>
                <w:sz w:val="24"/>
                <w:szCs w:val="24"/>
                <w:lang w:eastAsia="ru-RU"/>
              </w:rPr>
              <w:t>, </w:t>
            </w: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тс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i/>
                <w:iCs/>
                <w:color w:val="242321"/>
                <w:sz w:val="24"/>
                <w:szCs w:val="24"/>
                <w:lang w:eastAsia="ru-RU"/>
              </w:rPr>
              <w:t>∆</w:t>
            </w:r>
            <w:proofErr w:type="spellStart"/>
            <w:r w:rsidRPr="00F34445">
              <w:rPr>
                <w:rFonts w:ascii="Times New Roman" w:eastAsia="Times New Roman" w:hAnsi="Times New Roman" w:cs="Times New Roman"/>
                <w:i/>
                <w:iCs/>
                <w:color w:val="242321"/>
                <w:sz w:val="24"/>
                <w:szCs w:val="24"/>
                <w:lang w:eastAsia="ru-RU"/>
              </w:rPr>
              <w:t>М</w:t>
            </w:r>
            <w:r w:rsidRPr="00F34445">
              <w:rPr>
                <w:rFonts w:ascii="Times New Roman" w:eastAsia="Times New Roman" w:hAnsi="Times New Roman" w:cs="Times New Roman"/>
                <w:i/>
                <w:iCs/>
                <w:color w:val="242321"/>
                <w:sz w:val="18"/>
                <w:szCs w:val="18"/>
                <w:vertAlign w:val="subscript"/>
                <w:lang w:eastAsia="ru-RU"/>
              </w:rPr>
              <w:t>пг</w:t>
            </w:r>
            <w:proofErr w:type="gramStart"/>
            <w:r w:rsidRPr="00F34445">
              <w:rPr>
                <w:rFonts w:ascii="Times New Roman" w:eastAsia="Times New Roman" w:hAnsi="Times New Roman" w:cs="Times New Roman"/>
                <w:i/>
                <w:iCs/>
                <w:color w:val="242321"/>
                <w:sz w:val="18"/>
                <w:szCs w:val="18"/>
                <w:vertAlign w:val="subscript"/>
                <w:lang w:eastAsia="ru-RU"/>
              </w:rPr>
              <w:t>,</w:t>
            </w: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т</w:t>
            </w:r>
            <w:proofErr w:type="gramEnd"/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с</w:t>
            </w:r>
            <w:proofErr w:type="spellEnd"/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 xml:space="preserve"> м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34445" w:rsidRPr="00F34445" w:rsidRDefault="00F34445" w:rsidP="00F34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</w:p>
        </w:tc>
      </w:tr>
      <w:tr w:rsidR="00F34445" w:rsidRPr="00F34445" w:rsidTr="00F34445">
        <w:tc>
          <w:tcPr>
            <w:tcW w:w="0" w:type="auto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  <w:t>Переменные грузы</w:t>
            </w:r>
          </w:p>
        </w:tc>
      </w:tr>
      <w:tr w:rsidR="00F34445" w:rsidRPr="00F34445" w:rsidTr="00F3444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Запасные торпеды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26,4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47,5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22,2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- 199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</w:tr>
      <w:tr w:rsidR="00F34445" w:rsidRPr="00F34445" w:rsidTr="00F3444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Торпедозаместительные</w:t>
            </w:r>
            <w:bookmarkStart w:id="0" w:name="_GoBack"/>
            <w:bookmarkEnd w:id="0"/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 xml:space="preserve"> цистерны № 1 и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48,3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+4,2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+202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</w:tr>
      <w:tr w:rsidR="00F34445" w:rsidRPr="00F34445" w:rsidTr="00F3444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Масло в цистерне су</w:t>
            </w: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softHyphen/>
              <w:t>дового запаса масла </w:t>
            </w:r>
            <w:r w:rsidRPr="00F34445">
              <w:rPr>
                <w:rFonts w:ascii="Times New Roman" w:eastAsia="Times New Roman" w:hAnsi="Times New Roman" w:cs="Times New Roman"/>
                <w:i/>
                <w:iCs/>
                <w:color w:val="242321"/>
                <w:sz w:val="24"/>
                <w:szCs w:val="24"/>
                <w:lang w:eastAsia="ru-RU"/>
              </w:rPr>
              <w:t>№</w:t>
            </w: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11,7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43,7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-9,1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+ 398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</w:tr>
      <w:tr w:rsidR="00F34445" w:rsidRPr="00F34445" w:rsidTr="00F3444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Масло в цистерне цир</w:t>
            </w: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softHyphen/>
              <w:t>куляционного масла № 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10,3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- 40,5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9,1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- 1,2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+49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</w:tr>
      <w:tr w:rsidR="00F34445" w:rsidRPr="00F34445" w:rsidTr="00F3444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lastRenderedPageBreak/>
              <w:t>Масло в цистернах гряз</w:t>
            </w: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softHyphen/>
              <w:t>ного масла № 1 и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- 47,0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10,3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+ 10,3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- 484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</w:tr>
      <w:tr w:rsidR="00F34445" w:rsidRPr="00F34445" w:rsidTr="00F3444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Питательная вода в цистерне № 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- 50,4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-3,0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+ 151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</w:tr>
      <w:tr w:rsidR="00F34445" w:rsidRPr="00F34445" w:rsidTr="00F3444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Провизия в цистерне № 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17,9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-2,8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- 50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</w:tr>
      <w:tr w:rsidR="00F34445" w:rsidRPr="00F34445" w:rsidTr="00F3444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Пресная вода в ци</w:t>
            </w: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softHyphen/>
              <w:t>стерне № 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10,7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33,1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- 7,9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-261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</w:tr>
      <w:tr w:rsidR="00F34445" w:rsidRPr="00F34445" w:rsidTr="00F3444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Итого переменных грузов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76,4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i/>
                <w:iCs/>
                <w:color w:val="24232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62,7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- 13,7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- 194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</w:tr>
      <w:tr w:rsidR="00F34445" w:rsidRPr="00F34445" w:rsidTr="00F34445">
        <w:tc>
          <w:tcPr>
            <w:tcW w:w="0" w:type="auto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  <w:t>Вспомогательный балласт</w:t>
            </w:r>
          </w:p>
        </w:tc>
      </w:tr>
      <w:tr w:rsidR="00F34445" w:rsidRPr="00F34445" w:rsidTr="00F3444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Уравнительная цистерна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0,53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17,7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+13,7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+7,3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</w:tr>
      <w:tr w:rsidR="00F34445" w:rsidRPr="00F34445" w:rsidTr="00F3444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Носовые дифферентные цистерны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12,4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48,8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14,26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+1,86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+ 90,5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</w:tr>
      <w:tr w:rsidR="00F34445" w:rsidRPr="00F34445" w:rsidTr="00F3444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Кормовые дифферентные цистерны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16,6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- 51,8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14,74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- 1,86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+ 96,2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</w:tr>
      <w:tr w:rsidR="00F34445" w:rsidRPr="00F34445" w:rsidTr="00F3444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 xml:space="preserve">Итого вспомогательного </w:t>
            </w: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lastRenderedPageBreak/>
              <w:t>балласта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lastRenderedPageBreak/>
              <w:t>33,0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46,7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+ 13,7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+194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</w:tr>
      <w:tr w:rsidR="00F34445" w:rsidRPr="00F34445" w:rsidTr="00F3444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lastRenderedPageBreak/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109,4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109,4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34445" w:rsidRPr="00F34445" w:rsidRDefault="00F34445" w:rsidP="00F34445">
            <w:pPr>
              <w:spacing w:after="360" w:line="360" w:lineRule="atLeast"/>
              <w:rPr>
                <w:rFonts w:ascii="Times New Roman" w:eastAsia="Times New Roman" w:hAnsi="Times New Roman" w:cs="Times New Roman"/>
                <w:color w:val="242321"/>
                <w:sz w:val="20"/>
                <w:szCs w:val="20"/>
                <w:lang w:eastAsia="ru-RU"/>
              </w:rPr>
            </w:pPr>
            <w:r w:rsidRPr="00F34445">
              <w:rPr>
                <w:rFonts w:ascii="Times New Roman" w:eastAsia="Times New Roman" w:hAnsi="Times New Roman" w:cs="Times New Roman"/>
                <w:color w:val="242321"/>
                <w:sz w:val="16"/>
                <w:szCs w:val="16"/>
                <w:lang w:eastAsia="ru-RU"/>
              </w:rPr>
              <w:t> </w:t>
            </w:r>
          </w:p>
        </w:tc>
      </w:tr>
    </w:tbl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Расчет изменения нагрузки показывает, что на подводной лодке переменных грузов меньше чем при нормальной нагрузке на 13,7 тс, т. е. подводная лодка легка. При этом переменные грузы израсходованы в основном из носовой части подводной лодки, что создает избыточный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дифферентующий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момент на корму 194 тс м.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Для компенсации положительной остаточной плавучести в уравнительную цистерну принимается 13,7 тонн воды. </w:t>
      </w:r>
      <w:proofErr w:type="gram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Этот прием воды создаст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дифферентующии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момент на нос 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∆</w:t>
      </w:r>
      <w:proofErr w:type="spellStart"/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М</w:t>
      </w:r>
      <w:r w:rsidRPr="00F34445">
        <w:rPr>
          <w:rFonts w:ascii="Arial" w:eastAsia="Times New Roman" w:hAnsi="Arial" w:cs="Arial"/>
          <w:i/>
          <w:iCs/>
          <w:color w:val="242321"/>
          <w:sz w:val="18"/>
          <w:szCs w:val="18"/>
          <w:vertAlign w:val="subscript"/>
          <w:lang w:eastAsia="ru-RU"/>
        </w:rPr>
        <w:t>ур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 =  13,7 ∙ 0,53 = 7,3 тс м. Суммарный момент, действующий на подводную лодку </w:t>
      </w:r>
      <w:r w:rsidRPr="00F34445">
        <w:rPr>
          <w:rFonts w:ascii="Arial" w:eastAsia="Times New Roman" w:hAnsi="Arial" w:cs="Arial"/>
          <w:i/>
          <w:iCs/>
          <w:color w:val="242321"/>
          <w:sz w:val="24"/>
          <w:szCs w:val="24"/>
          <w:lang w:eastAsia="ru-RU"/>
        </w:rPr>
        <w:t>∑∆М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 = −194,0 + 7,3 = −186,7 тс м. Компенсация этого момента осуществляется перегоном воды из кормовой </w:t>
      </w:r>
      <w:r w:rsidR="000377D2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дифферентовочной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цистерны в носовую в количестве</w:t>
      </w:r>
      <w:proofErr w:type="gramEnd"/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noProof/>
          <w:color w:val="242321"/>
          <w:sz w:val="24"/>
          <w:szCs w:val="24"/>
          <w:lang w:eastAsia="ru-RU"/>
        </w:rPr>
        <w:drawing>
          <wp:inline distT="0" distB="0" distL="0" distR="0">
            <wp:extent cx="2114550" cy="952500"/>
            <wp:effectExtent l="0" t="0" r="0" b="0"/>
            <wp:docPr id="8" name="Рисунок 8" descr="https://podlodka.info/images/stories/teor_pl/image/image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odlodka.info/images/stories/teor_pl/image/image03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Проверка расчета показывает, что вес данных переменных грузов и вспомогательного балласта остается неизменным и равным 109,4 тс.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proofErr w:type="gram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Расчетная</w:t>
      </w:r>
      <w:proofErr w:type="gram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дифферентовка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при этом характеризуется следующими данными: в уравнительной цистерне  17,7 т, в носовой </w:t>
      </w:r>
      <w:r w:rsidR="000377D2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дифферентовочной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 xml:space="preserve"> 14,28 т и в кормовой </w:t>
      </w:r>
      <w:r w:rsidR="000377D2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дифферентовочной</w:t>
      </w: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  14,74 т воды.</w:t>
      </w:r>
    </w:p>
    <w:p w:rsidR="00F34445" w:rsidRPr="00F34445" w:rsidRDefault="00F34445" w:rsidP="00F34445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242321"/>
          <w:sz w:val="24"/>
          <w:szCs w:val="24"/>
          <w:lang w:eastAsia="ru-RU"/>
        </w:rPr>
      </w:pPr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lastRenderedPageBreak/>
        <w:t xml:space="preserve">Для обеспечения постоянной готовности подводной лодки к погружению необходимо следить за тем, чтобы ее вес всегда был практически постоянным. Это говорит о необходимости соблюдать на подводной лодке строгую весовую дисциплину, т. е. выполнять требования Инструкции по расходованию и замещению переменных грузов, в которой даны расчеты и рекомендации по компенсации расходования переменных грузов. При погрузке или выгрузке грузов данные об их весе и месте расположения записываются в вахтенный журнал, подводной лодки. Достоверность этих данных должна быть абсолютной, так как они будут входить в исходные данные для расчета </w:t>
      </w:r>
      <w:proofErr w:type="spellStart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дифферентовки</w:t>
      </w:r>
      <w:proofErr w:type="spellEnd"/>
      <w:r w:rsidRPr="00F34445">
        <w:rPr>
          <w:rFonts w:ascii="Arial" w:eastAsia="Times New Roman" w:hAnsi="Arial" w:cs="Arial"/>
          <w:color w:val="242321"/>
          <w:sz w:val="24"/>
          <w:szCs w:val="24"/>
          <w:lang w:eastAsia="ru-RU"/>
        </w:rPr>
        <w:t>.</w:t>
      </w:r>
    </w:p>
    <w:p w:rsidR="00F34445" w:rsidRDefault="00F34445"/>
    <w:p w:rsidR="00F34445" w:rsidRDefault="00F34445" w:rsidP="00F34445"/>
    <w:p w:rsidR="009D6BF8" w:rsidRPr="00F34445" w:rsidRDefault="00F34445" w:rsidP="00F34445">
      <w:pPr>
        <w:tabs>
          <w:tab w:val="left" w:pos="1545"/>
        </w:tabs>
      </w:pPr>
      <w:r>
        <w:tab/>
      </w:r>
    </w:p>
    <w:sectPr w:rsidR="009D6BF8" w:rsidRPr="00F34445" w:rsidSect="00F3444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B2D5D"/>
    <w:multiLevelType w:val="multilevel"/>
    <w:tmpl w:val="FF02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843F93"/>
    <w:multiLevelType w:val="multilevel"/>
    <w:tmpl w:val="5AC8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5A3D60"/>
    <w:multiLevelType w:val="multilevel"/>
    <w:tmpl w:val="7A8C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F34445"/>
    <w:rsid w:val="000377D2"/>
    <w:rsid w:val="00227962"/>
    <w:rsid w:val="002831B1"/>
    <w:rsid w:val="004172C5"/>
    <w:rsid w:val="00796406"/>
    <w:rsid w:val="00DB5731"/>
    <w:rsid w:val="00EA6F70"/>
    <w:rsid w:val="00EE27F1"/>
    <w:rsid w:val="00EE5E77"/>
    <w:rsid w:val="00F34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9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7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891">
          <w:marLeft w:val="150"/>
          <w:marRight w:val="150"/>
          <w:marTop w:val="30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0146">
              <w:marLeft w:val="420"/>
              <w:marRight w:val="42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5924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7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808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7049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9860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8024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684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76948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2443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06600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627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58730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253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92370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73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46456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27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1027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4420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03422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1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0075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31719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082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17193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7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736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85684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8737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03159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509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FA440-6CCE-4B70-A10A-42035C554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2</cp:revision>
  <dcterms:created xsi:type="dcterms:W3CDTF">2019-12-05T12:43:00Z</dcterms:created>
  <dcterms:modified xsi:type="dcterms:W3CDTF">2019-12-05T12:43:00Z</dcterms:modified>
</cp:coreProperties>
</file>