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Sales Forecasting &amp; Demand Prediction Analysis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provides a comprehensive analysis of historical sales data (51,290 records across 2011–2014) to solve critical operational challenges including demand volatility, inventory misallocation, and sales planning inefficiencies. The primary goal is to identify underlying seasonal patterns, evaluate category performance, and provide actionable forecasting insights to optimize future demand planning.</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Business Questions &amp; Direct Answers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Which months have the highest sales?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November (₹1,551,319) and December (₹1,580,816) generate the highest sales revenue, closely preceded by September (₹1,437,432) and August (₹1,293,852).</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 there any seasonal pattern in sales?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Yes, sales follow a consistent annual seasonal cycle—starting with lower activity in Q1 (dipping to its lowest in February), experiencing a mid-year spike in June, and culminating in a severe peak across Q4 (September through December).</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is the overall sales trend (increasing or decreasing)?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The overall sales trend is strictly increasing year-over-year. Sales grew from ₹2,259,511 in 2011 to ₹4,300,041 in 2014, reflecting continuous enterprise growth.</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Which products are expected to have high demand in the future?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High-value technology and communication equipment lead future demand projections. Specifically, </w:t>
      </w:r>
      <w:r w:rsidDel="00000000" w:rsidR="00000000" w:rsidRPr="00000000">
        <w:rPr>
          <w:b w:val="1"/>
          <w:bCs w:val="1"/>
          <w:rtl w:val="0"/>
        </w:rPr>
        <w:t xml:space="preserve">Phones</w:t>
      </w:r>
      <w:r w:rsidDel="00000000" w:rsidR="00000000" w:rsidRPr="00000000">
        <w:rPr>
          <w:rtl w:val="0"/>
        </w:rPr>
        <w:t xml:space="preserve"> (₹1,706,874), </w:t>
      </w:r>
      <w:r w:rsidDel="00000000" w:rsidR="00000000" w:rsidRPr="00000000">
        <w:rPr>
          <w:b w:val="1"/>
          <w:bCs w:val="1"/>
          <w:rtl w:val="0"/>
        </w:rPr>
        <w:t xml:space="preserve">Copiers</w:t>
      </w:r>
      <w:r w:rsidDel="00000000" w:rsidR="00000000" w:rsidRPr="00000000">
        <w:rPr>
          <w:rtl w:val="0"/>
        </w:rPr>
        <w:t xml:space="preserve"> (₹1,509,439), and flagship smart phone models (Apple, Cisco, Motorola) show top sales momentum.</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How can the company improve demand planning?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By aligning inventory procurement schedules with seasonal Q3/Q4 surges, establishing strategic safety stock for high-margin tech items by late summer, and curtailing over-stocking during Q1 dips.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Key Historical Sales Trends &amp; Analysis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Yearly Performance &amp; Trend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 the four-year evaluation period, overall revenue surged by over 90%, driven by expanding customer market share across regions.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Year</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Total Sales (₹)</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Growth Status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2011</w:t>
            </w:r>
          </w:p>
        </w:tc>
        <w:tc>
          <w:tcPr>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₹2,259,511</w:t>
            </w:r>
          </w:p>
        </w:tc>
        <w:tc>
          <w:tcPr>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Baseline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2012</w:t>
            </w:r>
          </w:p>
        </w:tc>
        <w:tc>
          <w:tcPr>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₹2,677,493</w:t>
            </w:r>
          </w:p>
        </w:tc>
        <w:tc>
          <w:tcPr>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+18.5% YoY</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2013</w:t>
            </w:r>
          </w:p>
        </w:tc>
        <w:tc>
          <w:tcPr>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₹3,405,860</w:t>
            </w:r>
          </w:p>
        </w:tc>
        <w:tc>
          <w:tcPr>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+27.2% YoY</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2014</w:t>
            </w:r>
          </w:p>
        </w:tc>
        <w:tc>
          <w:tcPr>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₹4,300,041</w:t>
            </w:r>
          </w:p>
        </w:tc>
        <w:tc>
          <w:tcPr>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+26.3% YoY</w:t>
            </w:r>
          </w:p>
        </w:tc>
      </w:tr>
    </w:tbl>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Aggregated Monthly Sales Pattern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Aggregating performance across all four years reveals a pronounced seasonal wave structure: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Month</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Total Revenue (₹)</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Demand Classification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January</w:t>
            </w:r>
          </w:p>
        </w:tc>
        <w:tc>
          <w:tcPr>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₹675,141</w:t>
            </w:r>
          </w:p>
        </w:tc>
        <w:tc>
          <w:tcPr>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Low</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February</w:t>
            </w:r>
          </w:p>
        </w:tc>
        <w:tc>
          <w:tcPr>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₹543,768</w:t>
            </w:r>
          </w:p>
        </w:tc>
        <w:tc>
          <w:tcPr>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Lowest (Annual Trough)</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March</w:t>
            </w:r>
          </w:p>
        </w:tc>
        <w:tc>
          <w:tcPr>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₹770,519</w:t>
            </w:r>
          </w:p>
        </w:tc>
        <w:tc>
          <w:tcPr>
            <w:shd w:fill="auto"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Moderate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April</w:t>
            </w:r>
          </w:p>
        </w:tc>
        <w:tc>
          <w:tcPr>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₹698,603</w:t>
            </w:r>
          </w:p>
        </w:tc>
        <w:tc>
          <w:tcPr>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Moderate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May</w:t>
            </w:r>
          </w:p>
        </w:tc>
        <w:tc>
          <w:tcPr>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₹904,061</w:t>
            </w:r>
          </w:p>
        </w:tc>
        <w:tc>
          <w:tcPr>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Moderate High</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June</w:t>
            </w:r>
          </w:p>
        </w:tc>
        <w:tc>
          <w:tcPr>
            <w:shd w:fill="auto"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₹1,269,751</w:t>
            </w:r>
          </w:p>
        </w:tc>
        <w:tc>
          <w:tcPr>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Mid-Year Peak</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July</w:t>
            </w:r>
          </w:p>
        </w:tc>
        <w:tc>
          <w:tcPr>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₹749,423</w:t>
            </w:r>
          </w:p>
        </w:tc>
        <w:tc>
          <w:tcPr>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Moderate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August</w:t>
            </w:r>
          </w:p>
        </w:tc>
        <w:tc>
          <w:tcPr>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₹1,293,852</w:t>
            </w:r>
          </w:p>
        </w:tc>
        <w:tc>
          <w:tcPr>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High (Q3 Start)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September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₹1,437,432</w:t>
            </w:r>
          </w:p>
        </w:tc>
        <w:tc>
          <w:tcPr>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High Surge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October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₹1,168,220</w:t>
            </w:r>
          </w:p>
        </w:tc>
        <w:tc>
          <w:tcPr>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High</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November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₹1,551,319</w:t>
            </w:r>
          </w:p>
        </w:tc>
        <w:tc>
          <w:tcPr>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Peak Surge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December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₹1,580,816</w:t>
            </w:r>
          </w:p>
        </w:tc>
        <w:tc>
          <w:tcPr>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Maximum Peak</w:t>
            </w:r>
          </w:p>
        </w:tc>
      </w:tr>
    </w:tbl>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Category &amp; Product Performance Breakdown</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Performance by Category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Technology</w:t>
      </w:r>
      <w:r w:rsidDel="00000000" w:rsidR="00000000" w:rsidRPr="00000000">
        <w:rPr>
          <w:rtl w:val="0"/>
        </w:rPr>
        <w:t xml:space="preserve"> category leads overall corporate profitability and sales, whereas </w:t>
      </w:r>
      <w:r w:rsidDel="00000000" w:rsidR="00000000" w:rsidRPr="00000000">
        <w:rPr>
          <w:b w:val="1"/>
          <w:bCs w:val="1"/>
          <w:rtl w:val="0"/>
        </w:rPr>
        <w:t xml:space="preserve">Office Supplies</w:t>
      </w:r>
      <w:r w:rsidDel="00000000" w:rsidR="00000000" w:rsidRPr="00000000">
        <w:rPr>
          <w:rtl w:val="0"/>
        </w:rPr>
        <w:t xml:space="preserve"> moves high volume velocity across all markets.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Category</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Total Sales (₹)</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Total Quantity Sold</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Total Profit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Technology</w:t>
            </w:r>
          </w:p>
        </w:tc>
        <w:tc>
          <w:tcPr>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₹4,744,691</w:t>
            </w:r>
          </w:p>
        </w:tc>
        <w:tc>
          <w:tcPr>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35,176</w:t>
            </w:r>
          </w:p>
        </w:tc>
        <w:tc>
          <w:tcPr>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₹663,778.73</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Furniture</w:t>
            </w:r>
          </w:p>
        </w:tc>
        <w:tc>
          <w:tcPr>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₹4,110,884</w:t>
            </w:r>
          </w:p>
        </w:tc>
        <w:tc>
          <w:tcPr>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34,954</w:t>
            </w:r>
          </w:p>
        </w:tc>
        <w:tc>
          <w:tcPr>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₹286,782.25</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Office Supplies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₹3,787,330</w:t>
            </w:r>
          </w:p>
        </w:tc>
        <w:tc>
          <w:tcPr>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108,182</w:t>
            </w:r>
          </w:p>
        </w:tc>
        <w:tc>
          <w:tcPr>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₹518,473.83</w:t>
            </w:r>
          </w:p>
        </w:tc>
      </w:tr>
    </w:tbl>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Top 5 Sub-Categories</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Phones:</w:t>
      </w:r>
      <w:r w:rsidDel="00000000" w:rsidR="00000000" w:rsidRPr="00000000">
        <w:rPr>
          <w:rtl w:val="0"/>
        </w:rPr>
        <w:t xml:space="preserve"> ₹1,706,874 sales | 11,870 units | ₹216,717 profit</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Copiers:</w:t>
      </w:r>
      <w:r w:rsidDel="00000000" w:rsidR="00000000" w:rsidRPr="00000000">
        <w:rPr>
          <w:rtl w:val="0"/>
        </w:rPr>
        <w:t xml:space="preserve"> ₹1,509,439 sales | 7,454 units | ₹258,567 profit</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Chairs:</w:t>
      </w:r>
      <w:r w:rsidDel="00000000" w:rsidR="00000000" w:rsidRPr="00000000">
        <w:rPr>
          <w:rtl w:val="0"/>
        </w:rPr>
        <w:t xml:space="preserve"> ₹1,501,682 sales | 12,336 units | ₹141,973 profit</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Bookcases:</w:t>
      </w:r>
      <w:r w:rsidDel="00000000" w:rsidR="00000000" w:rsidRPr="00000000">
        <w:rPr>
          <w:rtl w:val="0"/>
        </w:rPr>
        <w:t xml:space="preserve"> ₹1,466,559 sales | 8,310 units | ₹161,924 profit</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Storage:</w:t>
      </w:r>
      <w:r w:rsidDel="00000000" w:rsidR="00000000" w:rsidRPr="00000000">
        <w:rPr>
          <w:rtl w:val="0"/>
        </w:rPr>
        <w:t xml:space="preserve"> ₹1,127,124 sales | 16,917 units | ₹108,461 profit</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Strategic Recommendations for Business Planning</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Dynamic Supply Chain Stocking:</w:t>
      </w:r>
      <w:r w:rsidDel="00000000" w:rsidR="00000000" w:rsidRPr="00000000">
        <w:rPr>
          <w:rtl w:val="0"/>
        </w:rPr>
        <w:t xml:space="preserve"> Scale up procurement and inventory intake during July and August to stay ahead of the massive Q3–Q4 peak season, preventing stockouts during November and December.</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Targeted Off-Peak Promotional Campaigns:</w:t>
      </w:r>
      <w:r w:rsidDel="00000000" w:rsidR="00000000" w:rsidRPr="00000000">
        <w:rPr>
          <w:rtl w:val="0"/>
        </w:rPr>
        <w:t xml:space="preserve"> Introduce promotional bundles, volume rebates, or corporate loyalty incentives during January and February to stabilize cash flows during lower demand months.</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Prioritize High-Margin Technology Lines:</w:t>
      </w:r>
      <w:r w:rsidDel="00000000" w:rsidR="00000000" w:rsidRPr="00000000">
        <w:rPr>
          <w:rtl w:val="0"/>
        </w:rPr>
        <w:t xml:space="preserve"> Expand marketing initiatives around high-value smart phones and advanced copiers to maximize operating margin percentage.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