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C64CF2">
      <w:pPr>
        <w:spacing w:line="480" w:lineRule="exact"/>
        <w:rPr>
          <w:rFonts w:ascii="宋体"/>
          <w:b/>
          <w:bCs/>
          <w:sz w:val="24"/>
        </w:rPr>
      </w:pPr>
      <w:bookmarkStart w:id="0" w:name="_Toc487102575"/>
      <w:r>
        <w:rPr>
          <w:rFonts w:hint="eastAsia" w:ascii="宋体"/>
          <w:b/>
          <w:bCs/>
          <w:sz w:val="24"/>
        </w:rPr>
        <w:t>中图分类号：</w:t>
      </w:r>
      <w:r>
        <w:rPr>
          <w:rFonts w:ascii="宋体"/>
          <w:b/>
          <w:bCs/>
          <w:sz w:val="24"/>
        </w:rPr>
        <w:t xml:space="preserve">TP311.5 </w:t>
      </w:r>
      <w:r>
        <w:rPr>
          <w:rFonts w:hint="eastAsia" w:ascii="宋体"/>
          <w:b/>
          <w:bCs/>
          <w:sz w:val="24"/>
        </w:rPr>
        <w:t xml:space="preserve">   </w:t>
      </w:r>
      <w:r>
        <w:rPr>
          <w:rFonts w:ascii="宋体"/>
          <w:b/>
          <w:bCs/>
          <w:sz w:val="24"/>
        </w:rPr>
        <w:t xml:space="preserve">     </w:t>
      </w:r>
      <w:r>
        <w:rPr>
          <w:rFonts w:hint="eastAsia" w:ascii="宋体"/>
          <w:b/>
          <w:bCs/>
          <w:sz w:val="24"/>
        </w:rPr>
        <w:t xml:space="preserve">         </w:t>
      </w:r>
      <w:r>
        <w:rPr>
          <w:rFonts w:ascii="宋体"/>
          <w:b/>
          <w:bCs/>
          <w:sz w:val="24"/>
        </w:rPr>
        <w:t xml:space="preserve">          </w:t>
      </w:r>
      <w:r>
        <w:rPr>
          <w:rFonts w:hint="eastAsia" w:ascii="宋体"/>
          <w:b/>
          <w:bCs/>
          <w:sz w:val="24"/>
        </w:rPr>
        <w:t>学校代码：</w:t>
      </w:r>
      <w:bookmarkEnd w:id="0"/>
      <w:r>
        <w:rPr>
          <w:rFonts w:hint="eastAsia" w:ascii="宋体"/>
          <w:b/>
          <w:bCs/>
          <w:sz w:val="24"/>
        </w:rPr>
        <w:t>1</w:t>
      </w:r>
      <w:r>
        <w:rPr>
          <w:rFonts w:ascii="宋体"/>
          <w:b/>
          <w:bCs/>
          <w:sz w:val="24"/>
        </w:rPr>
        <w:t>0621</w:t>
      </w:r>
    </w:p>
    <w:p w14:paraId="0E926167">
      <w:pPr>
        <w:spacing w:line="480" w:lineRule="exact"/>
        <w:rPr>
          <w:sz w:val="18"/>
        </w:rPr>
      </w:pPr>
      <w:r>
        <w:rPr>
          <w:rFonts w:ascii="宋体"/>
          <w:b/>
          <w:bCs/>
          <w:sz w:val="24"/>
        </w:rPr>
        <w:t>UDC</w:t>
      </w:r>
      <w:r>
        <w:rPr>
          <w:rFonts w:hint="eastAsia" w:ascii="宋体"/>
          <w:b/>
          <w:bCs/>
          <w:sz w:val="24"/>
        </w:rPr>
        <w:t>分类号：</w:t>
      </w:r>
      <w:r>
        <w:rPr>
          <w:rFonts w:hint="eastAsia" w:ascii="宋体"/>
          <w:b/>
          <w:bCs/>
          <w:sz w:val="24"/>
          <w:lang w:val="en-US" w:eastAsia="zh-CN"/>
        </w:rPr>
        <w:t>004.41</w:t>
      </w:r>
      <w:r>
        <w:rPr>
          <w:rFonts w:ascii="宋体" w:hAnsi="宋体"/>
          <w:b/>
          <w:bCs/>
          <w:sz w:val="24"/>
        </w:rPr>
        <w:t xml:space="preserve">            </w:t>
      </w:r>
      <w:r>
        <w:rPr>
          <w:rFonts w:hint="eastAsia" w:ascii="宋体" w:hAnsi="宋体"/>
          <w:b/>
          <w:bCs/>
          <w:sz w:val="24"/>
        </w:rPr>
        <w:t xml:space="preserve"> </w:t>
      </w:r>
      <w:r>
        <w:rPr>
          <w:rFonts w:ascii="宋体" w:hAnsi="宋体"/>
          <w:b/>
          <w:bCs/>
          <w:sz w:val="24"/>
        </w:rPr>
        <w:t xml:space="preserve"> </w:t>
      </w:r>
      <w:r>
        <w:rPr>
          <w:rFonts w:hint="eastAsia" w:ascii="宋体" w:hAnsi="宋体"/>
          <w:b/>
          <w:bCs/>
          <w:sz w:val="24"/>
        </w:rPr>
        <w:t xml:space="preserve"> </w:t>
      </w:r>
      <w:r>
        <w:rPr>
          <w:rFonts w:ascii="宋体" w:hAnsi="宋体"/>
          <w:b/>
          <w:bCs/>
          <w:sz w:val="24"/>
        </w:rPr>
        <w:t xml:space="preserve"> </w:t>
      </w:r>
      <w:r>
        <w:rPr>
          <w:rFonts w:hint="eastAsia" w:ascii="宋体" w:hAnsi="宋体"/>
          <w:b/>
          <w:bCs/>
          <w:sz w:val="24"/>
        </w:rPr>
        <w:t xml:space="preserve"> </w:t>
      </w:r>
      <w:r>
        <w:rPr>
          <w:rFonts w:ascii="宋体" w:hAnsi="宋体"/>
          <w:b/>
          <w:bCs/>
          <w:sz w:val="24"/>
        </w:rPr>
        <w:t xml:space="preserve">             </w:t>
      </w:r>
      <w:r>
        <w:rPr>
          <w:rFonts w:hint="eastAsia" w:ascii="宋体" w:hAnsi="宋体"/>
          <w:b/>
          <w:bCs/>
          <w:sz w:val="24"/>
        </w:rPr>
        <w:t>密级：公开</w:t>
      </w:r>
    </w:p>
    <w:p w14:paraId="768158D8">
      <w:pPr>
        <w:spacing w:line="480" w:lineRule="exact"/>
        <w:jc w:val="center"/>
        <w:rPr>
          <w:rFonts w:eastAsia="黑体"/>
          <w:spacing w:val="140"/>
          <w:sz w:val="44"/>
        </w:rPr>
      </w:pPr>
    </w:p>
    <w:p w14:paraId="1DC7EF89">
      <w:pPr>
        <w:jc w:val="center"/>
        <w:rPr>
          <w:rFonts w:eastAsia="黑体"/>
          <w:b/>
          <w:spacing w:val="140"/>
          <w:sz w:val="44"/>
        </w:rPr>
      </w:pPr>
      <w:r>
        <w:rPr>
          <w:rFonts w:hint="eastAsia" w:eastAsia="黑体"/>
          <w:b/>
          <w:spacing w:val="140"/>
          <w:sz w:val="44"/>
        </w:rPr>
        <w:t>成都信息工程大学</w:t>
      </w:r>
    </w:p>
    <w:p w14:paraId="18E61A90">
      <w:pPr>
        <w:jc w:val="center"/>
        <w:rPr>
          <w:rFonts w:eastAsia="黑体"/>
          <w:b/>
          <w:spacing w:val="140"/>
          <w:sz w:val="44"/>
        </w:rPr>
      </w:pPr>
      <w:r>
        <w:rPr>
          <w:rFonts w:hint="eastAsia" w:eastAsia="黑体"/>
          <w:b/>
          <w:spacing w:val="140"/>
          <w:sz w:val="44"/>
        </w:rPr>
        <w:t>学士学位论文</w:t>
      </w:r>
    </w:p>
    <w:p w14:paraId="13EAE79A">
      <w:pPr>
        <w:jc w:val="center"/>
        <w:rPr>
          <w:rFonts w:eastAsia="黑体"/>
          <w:spacing w:val="140"/>
          <w:sz w:val="44"/>
        </w:rPr>
      </w:pPr>
    </w:p>
    <w:p w14:paraId="12A4C295">
      <w:pPr>
        <w:rPr>
          <w:rFonts w:ascii="宋体" w:hAnsi="宋体"/>
          <w:b/>
          <w:bCs/>
          <w:sz w:val="32"/>
          <w:szCs w:val="32"/>
        </w:rPr>
      </w:pPr>
    </w:p>
    <w:p w14:paraId="4031D533">
      <w:pPr>
        <w:jc w:val="center"/>
        <w:rPr>
          <w:rFonts w:hint="eastAsia" w:ascii="宋体" w:hAnsi="宋体"/>
          <w:b/>
          <w:bCs/>
          <w:sz w:val="32"/>
        </w:rPr>
      </w:pPr>
      <w:r>
        <w:rPr>
          <w:rFonts w:hint="eastAsia" w:ascii="宋体" w:hAnsi="宋体"/>
          <w:b/>
          <w:bCs/>
          <w:sz w:val="32"/>
        </w:rPr>
        <w:t>针对springboot框架的反爬虫组件实现</w:t>
      </w:r>
    </w:p>
    <w:p w14:paraId="7DA7C89C">
      <w:pPr>
        <w:jc w:val="center"/>
        <w:rPr>
          <w:rFonts w:ascii="宋体" w:hAnsi="宋体"/>
          <w:b/>
          <w:bCs/>
          <w:sz w:val="32"/>
        </w:rPr>
      </w:pPr>
      <w:r>
        <w:rPr>
          <w:rFonts w:hint="eastAsia" w:ascii="宋体" w:hAnsi="宋体"/>
          <w:b/>
          <w:bCs/>
          <w:sz w:val="32"/>
        </w:rPr>
        <w:t>Implementation of an Anti-Crawler Component Based on SpringBoot Framework</w:t>
      </w:r>
    </w:p>
    <w:p w14:paraId="7B240F0B">
      <w:pPr>
        <w:jc w:val="center"/>
        <w:rPr>
          <w:rFonts w:ascii="宋体" w:hAnsi="宋体"/>
          <w:b/>
          <w:bCs/>
          <w:sz w:val="32"/>
        </w:rPr>
      </w:pPr>
    </w:p>
    <w:tbl>
      <w:tblPr>
        <w:tblStyle w:val="6"/>
        <w:tblW w:w="0" w:type="auto"/>
        <w:jc w:val="center"/>
        <w:tblLayout w:type="fixed"/>
        <w:tblCellMar>
          <w:top w:w="0" w:type="dxa"/>
          <w:left w:w="108" w:type="dxa"/>
          <w:bottom w:w="0" w:type="dxa"/>
          <w:right w:w="108" w:type="dxa"/>
        </w:tblCellMar>
      </w:tblPr>
      <w:tblGrid>
        <w:gridCol w:w="2002"/>
        <w:gridCol w:w="3609"/>
      </w:tblGrid>
      <w:tr w14:paraId="5B371115">
        <w:tblPrEx>
          <w:tblCellMar>
            <w:top w:w="0" w:type="dxa"/>
            <w:left w:w="108" w:type="dxa"/>
            <w:bottom w:w="0" w:type="dxa"/>
            <w:right w:w="108" w:type="dxa"/>
          </w:tblCellMar>
        </w:tblPrEx>
        <w:trPr>
          <w:trHeight w:val="630" w:hRule="atLeast"/>
          <w:jc w:val="center"/>
        </w:trPr>
        <w:tc>
          <w:tcPr>
            <w:tcW w:w="2002" w:type="dxa"/>
            <w:vAlign w:val="center"/>
          </w:tcPr>
          <w:p w14:paraId="5196794B">
            <w:pPr>
              <w:spacing w:line="400" w:lineRule="exact"/>
              <w:jc w:val="distribute"/>
              <w:rPr>
                <w:rFonts w:ascii="仿宋_GB2312" w:eastAsia="仿宋_GB2312"/>
                <w:sz w:val="28"/>
                <w:szCs w:val="28"/>
              </w:rPr>
            </w:pPr>
            <w:r>
              <w:rPr>
                <w:rFonts w:hint="eastAsia" w:ascii="仿宋_GB2312" w:eastAsia="仿宋_GB2312"/>
                <w:sz w:val="28"/>
                <w:szCs w:val="28"/>
              </w:rPr>
              <w:t>姓名</w:t>
            </w:r>
          </w:p>
        </w:tc>
        <w:tc>
          <w:tcPr>
            <w:tcW w:w="3609" w:type="dxa"/>
            <w:tcBorders>
              <w:bottom w:val="single" w:color="auto" w:sz="4" w:space="0"/>
            </w:tcBorders>
            <w:vAlign w:val="center"/>
          </w:tcPr>
          <w:p w14:paraId="19CC1688">
            <w:pPr>
              <w:rPr>
                <w:rFonts w:hint="eastAsia" w:ascii="仿宋_GB2312" w:hAnsi="仿宋" w:eastAsia="仿宋_GB2312" w:cs="仿宋"/>
                <w:sz w:val="28"/>
                <w:szCs w:val="28"/>
                <w:lang w:val="en-US" w:eastAsia="zh-CN"/>
              </w:rPr>
            </w:pPr>
            <w:r>
              <w:rPr>
                <w:rFonts w:hint="eastAsia" w:ascii="仿宋_GB2312" w:hAnsi="仿宋" w:eastAsia="仿宋_GB2312" w:cs="仿宋"/>
                <w:sz w:val="28"/>
                <w:szCs w:val="28"/>
                <w:lang w:val="en-US" w:eastAsia="zh-CN"/>
              </w:rPr>
              <w:t>杨晨鑫</w:t>
            </w:r>
          </w:p>
        </w:tc>
      </w:tr>
      <w:tr w14:paraId="4404FFA7">
        <w:tblPrEx>
          <w:tblCellMar>
            <w:top w:w="0" w:type="dxa"/>
            <w:left w:w="108" w:type="dxa"/>
            <w:bottom w:w="0" w:type="dxa"/>
            <w:right w:w="108" w:type="dxa"/>
          </w:tblCellMar>
        </w:tblPrEx>
        <w:trPr>
          <w:trHeight w:val="630" w:hRule="atLeast"/>
          <w:jc w:val="center"/>
        </w:trPr>
        <w:tc>
          <w:tcPr>
            <w:tcW w:w="2002" w:type="dxa"/>
            <w:vAlign w:val="center"/>
          </w:tcPr>
          <w:p w14:paraId="5F0B889B">
            <w:pPr>
              <w:spacing w:line="400" w:lineRule="exact"/>
              <w:jc w:val="distribute"/>
              <w:rPr>
                <w:rFonts w:ascii="仿宋_GB2312" w:eastAsia="仿宋_GB2312"/>
                <w:sz w:val="28"/>
                <w:szCs w:val="28"/>
              </w:rPr>
            </w:pPr>
            <w:r>
              <w:rPr>
                <w:rFonts w:hint="eastAsia" w:ascii="仿宋_GB2312" w:eastAsia="仿宋_GB2312"/>
                <w:sz w:val="28"/>
                <w:szCs w:val="28"/>
              </w:rPr>
              <w:t>学号</w:t>
            </w:r>
          </w:p>
        </w:tc>
        <w:tc>
          <w:tcPr>
            <w:tcW w:w="3609" w:type="dxa"/>
            <w:tcBorders>
              <w:top w:val="single" w:color="auto" w:sz="4" w:space="0"/>
              <w:bottom w:val="single" w:color="auto" w:sz="4" w:space="0"/>
            </w:tcBorders>
            <w:vAlign w:val="center"/>
          </w:tcPr>
          <w:p w14:paraId="3AA6E65E">
            <w:pPr>
              <w:spacing w:line="400" w:lineRule="exact"/>
              <w:rPr>
                <w:rFonts w:hint="default" w:ascii="仿宋_GB2312" w:hAnsi="仿宋" w:eastAsia="仿宋_GB2312" w:cs="仿宋"/>
                <w:sz w:val="28"/>
                <w:szCs w:val="28"/>
                <w:lang w:val="en-US" w:eastAsia="zh-CN"/>
              </w:rPr>
            </w:pPr>
            <w:r>
              <w:rPr>
                <w:rFonts w:hint="eastAsia" w:ascii="仿宋_GB2312" w:hAnsi="仿宋" w:eastAsia="仿宋_GB2312" w:cs="仿宋"/>
                <w:sz w:val="28"/>
                <w:szCs w:val="28"/>
                <w:lang w:val="en-US" w:eastAsia="zh-CN"/>
              </w:rPr>
              <w:t>2022122072</w:t>
            </w:r>
          </w:p>
        </w:tc>
      </w:tr>
      <w:tr w14:paraId="5629CE0E">
        <w:tblPrEx>
          <w:tblCellMar>
            <w:top w:w="0" w:type="dxa"/>
            <w:left w:w="108" w:type="dxa"/>
            <w:bottom w:w="0" w:type="dxa"/>
            <w:right w:w="108" w:type="dxa"/>
          </w:tblCellMar>
        </w:tblPrEx>
        <w:trPr>
          <w:trHeight w:val="630" w:hRule="atLeast"/>
          <w:jc w:val="center"/>
        </w:trPr>
        <w:tc>
          <w:tcPr>
            <w:tcW w:w="2002" w:type="dxa"/>
            <w:vAlign w:val="center"/>
          </w:tcPr>
          <w:p w14:paraId="172CB73D">
            <w:pPr>
              <w:spacing w:line="400" w:lineRule="exact"/>
              <w:jc w:val="distribute"/>
              <w:rPr>
                <w:rFonts w:ascii="仿宋_GB2312" w:eastAsia="仿宋_GB2312"/>
                <w:sz w:val="28"/>
                <w:szCs w:val="28"/>
              </w:rPr>
            </w:pPr>
            <w:r>
              <w:rPr>
                <w:rFonts w:hint="eastAsia" w:ascii="仿宋_GB2312" w:eastAsia="仿宋_GB2312"/>
                <w:sz w:val="28"/>
                <w:szCs w:val="28"/>
              </w:rPr>
              <w:t>学院</w:t>
            </w:r>
          </w:p>
        </w:tc>
        <w:tc>
          <w:tcPr>
            <w:tcW w:w="3609" w:type="dxa"/>
            <w:tcBorders>
              <w:top w:val="single" w:color="auto" w:sz="4" w:space="0"/>
              <w:bottom w:val="single" w:color="auto" w:sz="4" w:space="0"/>
            </w:tcBorders>
            <w:vAlign w:val="center"/>
          </w:tcPr>
          <w:p w14:paraId="5F5CCB11">
            <w:pPr>
              <w:spacing w:line="400" w:lineRule="exact"/>
              <w:rPr>
                <w:rFonts w:hint="default" w:ascii="仿宋_GB2312" w:hAnsi="仿宋" w:eastAsia="仿宋_GB2312" w:cs="仿宋"/>
                <w:sz w:val="28"/>
                <w:szCs w:val="28"/>
                <w:lang w:val="en-US" w:eastAsia="zh-CN"/>
              </w:rPr>
            </w:pPr>
            <w:r>
              <w:rPr>
                <w:rFonts w:hint="eastAsia" w:ascii="仿宋_GB2312" w:hAnsi="仿宋" w:eastAsia="仿宋_GB2312" w:cs="仿宋"/>
                <w:sz w:val="28"/>
                <w:szCs w:val="28"/>
                <w:lang w:val="en-US" w:eastAsia="zh-CN"/>
              </w:rPr>
              <w:t>网络空间安全学院</w:t>
            </w:r>
          </w:p>
        </w:tc>
      </w:tr>
      <w:tr w14:paraId="77D359C2">
        <w:tblPrEx>
          <w:tblCellMar>
            <w:top w:w="0" w:type="dxa"/>
            <w:left w:w="108" w:type="dxa"/>
            <w:bottom w:w="0" w:type="dxa"/>
            <w:right w:w="108" w:type="dxa"/>
          </w:tblCellMar>
        </w:tblPrEx>
        <w:trPr>
          <w:trHeight w:val="630" w:hRule="atLeast"/>
          <w:jc w:val="center"/>
        </w:trPr>
        <w:tc>
          <w:tcPr>
            <w:tcW w:w="2002" w:type="dxa"/>
            <w:vAlign w:val="center"/>
          </w:tcPr>
          <w:p w14:paraId="4625FD2E">
            <w:pPr>
              <w:spacing w:line="400" w:lineRule="exact"/>
              <w:jc w:val="distribute"/>
              <w:rPr>
                <w:rFonts w:ascii="仿宋_GB2312" w:eastAsia="仿宋_GB2312"/>
                <w:sz w:val="28"/>
                <w:szCs w:val="28"/>
              </w:rPr>
            </w:pPr>
            <w:r>
              <w:rPr>
                <w:rFonts w:hint="eastAsia" w:ascii="仿宋_GB2312" w:eastAsia="仿宋_GB2312"/>
                <w:sz w:val="28"/>
                <w:szCs w:val="28"/>
              </w:rPr>
              <w:t>专业</w:t>
            </w:r>
          </w:p>
        </w:tc>
        <w:tc>
          <w:tcPr>
            <w:tcW w:w="3609" w:type="dxa"/>
            <w:tcBorders>
              <w:top w:val="single" w:color="auto" w:sz="4" w:space="0"/>
              <w:bottom w:val="single" w:color="auto" w:sz="4" w:space="0"/>
            </w:tcBorders>
            <w:vAlign w:val="center"/>
          </w:tcPr>
          <w:p w14:paraId="71217585">
            <w:pPr>
              <w:spacing w:line="400" w:lineRule="exact"/>
              <w:rPr>
                <w:rFonts w:hint="default" w:ascii="仿宋_GB2312" w:hAnsi="仿宋" w:eastAsia="仿宋_GB2312" w:cs="仿宋"/>
                <w:sz w:val="28"/>
                <w:szCs w:val="28"/>
                <w:lang w:val="en-US" w:eastAsia="zh-CN"/>
              </w:rPr>
            </w:pPr>
            <w:r>
              <w:rPr>
                <w:rFonts w:hint="eastAsia" w:ascii="仿宋_GB2312" w:hAnsi="仿宋" w:eastAsia="仿宋_GB2312" w:cs="仿宋"/>
                <w:sz w:val="28"/>
                <w:szCs w:val="28"/>
                <w:lang w:val="en-US" w:eastAsia="zh-CN"/>
              </w:rPr>
              <w:t>信息安全</w:t>
            </w:r>
          </w:p>
        </w:tc>
      </w:tr>
      <w:tr w14:paraId="16398B79">
        <w:tblPrEx>
          <w:tblCellMar>
            <w:top w:w="0" w:type="dxa"/>
            <w:left w:w="108" w:type="dxa"/>
            <w:bottom w:w="0" w:type="dxa"/>
            <w:right w:w="108" w:type="dxa"/>
          </w:tblCellMar>
        </w:tblPrEx>
        <w:trPr>
          <w:trHeight w:val="630" w:hRule="atLeast"/>
          <w:jc w:val="center"/>
        </w:trPr>
        <w:tc>
          <w:tcPr>
            <w:tcW w:w="2002" w:type="dxa"/>
            <w:vAlign w:val="center"/>
          </w:tcPr>
          <w:p w14:paraId="067A2844">
            <w:pPr>
              <w:spacing w:line="400" w:lineRule="exact"/>
              <w:jc w:val="distribute"/>
              <w:rPr>
                <w:rFonts w:ascii="仿宋_GB2312" w:eastAsia="仿宋_GB2312"/>
                <w:sz w:val="28"/>
                <w:szCs w:val="28"/>
              </w:rPr>
            </w:pPr>
            <w:r>
              <w:rPr>
                <w:rFonts w:hint="eastAsia" w:ascii="仿宋_GB2312" w:eastAsia="仿宋_GB2312"/>
                <w:sz w:val="28"/>
                <w:szCs w:val="28"/>
              </w:rPr>
              <w:t>研究方向</w:t>
            </w:r>
          </w:p>
        </w:tc>
        <w:tc>
          <w:tcPr>
            <w:tcW w:w="3609" w:type="dxa"/>
            <w:tcBorders>
              <w:top w:val="single" w:color="auto" w:sz="4" w:space="0"/>
              <w:bottom w:val="single" w:color="auto" w:sz="4" w:space="0"/>
            </w:tcBorders>
            <w:vAlign w:val="center"/>
          </w:tcPr>
          <w:p w14:paraId="05563C61">
            <w:pPr>
              <w:spacing w:line="400" w:lineRule="exact"/>
              <w:rPr>
                <w:rFonts w:ascii="仿宋_GB2312" w:hAnsi="仿宋" w:eastAsia="仿宋_GB2312" w:cs="仿宋"/>
                <w:sz w:val="28"/>
                <w:szCs w:val="28"/>
              </w:rPr>
            </w:pPr>
          </w:p>
        </w:tc>
      </w:tr>
      <w:tr w14:paraId="7E10B980">
        <w:tblPrEx>
          <w:tblCellMar>
            <w:top w:w="0" w:type="dxa"/>
            <w:left w:w="108" w:type="dxa"/>
            <w:bottom w:w="0" w:type="dxa"/>
            <w:right w:w="108" w:type="dxa"/>
          </w:tblCellMar>
        </w:tblPrEx>
        <w:trPr>
          <w:trHeight w:val="630" w:hRule="atLeast"/>
          <w:jc w:val="center"/>
        </w:trPr>
        <w:tc>
          <w:tcPr>
            <w:tcW w:w="2002" w:type="dxa"/>
            <w:vAlign w:val="center"/>
          </w:tcPr>
          <w:p w14:paraId="41E1CD68">
            <w:pPr>
              <w:spacing w:line="400" w:lineRule="exact"/>
              <w:jc w:val="distribute"/>
              <w:rPr>
                <w:rFonts w:ascii="仿宋_GB2312" w:eastAsia="仿宋_GB2312"/>
                <w:sz w:val="28"/>
                <w:szCs w:val="28"/>
              </w:rPr>
            </w:pPr>
            <w:r>
              <w:rPr>
                <w:rFonts w:hint="eastAsia" w:ascii="仿宋_GB2312" w:eastAsia="仿宋_GB2312"/>
                <w:sz w:val="28"/>
                <w:szCs w:val="28"/>
              </w:rPr>
              <w:t>指导教师</w:t>
            </w:r>
          </w:p>
        </w:tc>
        <w:tc>
          <w:tcPr>
            <w:tcW w:w="3609" w:type="dxa"/>
            <w:tcBorders>
              <w:top w:val="single" w:color="auto" w:sz="4" w:space="0"/>
              <w:bottom w:val="single" w:color="auto" w:sz="4" w:space="0"/>
            </w:tcBorders>
            <w:vAlign w:val="center"/>
          </w:tcPr>
          <w:p w14:paraId="47B9AC12">
            <w:pPr>
              <w:spacing w:line="400" w:lineRule="exact"/>
              <w:jc w:val="center"/>
              <w:rPr>
                <w:rFonts w:ascii="仿宋_GB2312" w:hAnsi="仿宋" w:eastAsia="仿宋_GB2312" w:cs="仿宋"/>
                <w:color w:val="C0C0C0"/>
                <w:sz w:val="28"/>
                <w:szCs w:val="28"/>
              </w:rPr>
            </w:pPr>
            <w:r>
              <w:rPr>
                <w:rFonts w:hint="eastAsia" w:ascii="仿宋_GB2312" w:hAnsi="仿宋" w:eastAsia="仿宋_GB2312" w:cs="仿宋"/>
                <w:color w:val="C0C0C0"/>
                <w:sz w:val="28"/>
                <w:szCs w:val="28"/>
                <w:lang w:val="en-US" w:eastAsia="zh-CN"/>
              </w:rPr>
              <w:t>何林波</w:t>
            </w:r>
            <w:r>
              <w:rPr>
                <w:rFonts w:hint="eastAsia" w:ascii="仿宋_GB2312" w:hAnsi="仿宋" w:eastAsia="仿宋_GB2312" w:cs="仿宋"/>
                <w:color w:val="C0C0C0"/>
                <w:sz w:val="28"/>
                <w:szCs w:val="28"/>
              </w:rPr>
              <w:t xml:space="preserve">    职称</w:t>
            </w:r>
          </w:p>
        </w:tc>
      </w:tr>
      <w:tr w14:paraId="35D24EA8">
        <w:tblPrEx>
          <w:tblCellMar>
            <w:top w:w="0" w:type="dxa"/>
            <w:left w:w="108" w:type="dxa"/>
            <w:bottom w:w="0" w:type="dxa"/>
            <w:right w:w="108" w:type="dxa"/>
          </w:tblCellMar>
        </w:tblPrEx>
        <w:trPr>
          <w:trHeight w:val="630" w:hRule="atLeast"/>
          <w:jc w:val="center"/>
        </w:trPr>
        <w:tc>
          <w:tcPr>
            <w:tcW w:w="2002" w:type="dxa"/>
            <w:vAlign w:val="center"/>
          </w:tcPr>
          <w:p w14:paraId="6683A21E">
            <w:pPr>
              <w:spacing w:line="400" w:lineRule="exact"/>
              <w:jc w:val="distribute"/>
              <w:rPr>
                <w:rFonts w:ascii="仿宋_GB2312" w:eastAsia="仿宋_GB2312"/>
                <w:sz w:val="28"/>
                <w:szCs w:val="28"/>
              </w:rPr>
            </w:pPr>
            <w:r>
              <w:rPr>
                <w:rFonts w:hint="eastAsia" w:ascii="仿宋_GB2312" w:eastAsia="仿宋_GB2312"/>
                <w:sz w:val="28"/>
                <w:szCs w:val="28"/>
              </w:rPr>
              <w:t>辅助指导教师</w:t>
            </w:r>
          </w:p>
        </w:tc>
        <w:tc>
          <w:tcPr>
            <w:tcW w:w="3609" w:type="dxa"/>
            <w:tcBorders>
              <w:top w:val="single" w:color="auto" w:sz="4" w:space="0"/>
              <w:bottom w:val="single" w:color="auto" w:sz="4" w:space="0"/>
            </w:tcBorders>
            <w:vAlign w:val="center"/>
          </w:tcPr>
          <w:p w14:paraId="071CECA2">
            <w:pPr>
              <w:spacing w:line="400" w:lineRule="exact"/>
              <w:jc w:val="center"/>
              <w:rPr>
                <w:rFonts w:ascii="仿宋_GB2312" w:hAnsi="仿宋" w:eastAsia="仿宋_GB2312" w:cs="仿宋"/>
                <w:color w:val="C0C0C0"/>
                <w:sz w:val="28"/>
                <w:szCs w:val="28"/>
              </w:rPr>
            </w:pPr>
            <w:r>
              <w:rPr>
                <w:rFonts w:hint="eastAsia" w:ascii="仿宋_GB2312" w:hAnsi="仿宋" w:eastAsia="仿宋_GB2312" w:cs="仿宋"/>
                <w:color w:val="C0C0C0"/>
                <w:sz w:val="28"/>
                <w:szCs w:val="28"/>
              </w:rPr>
              <w:t>姓名    职称</w:t>
            </w:r>
          </w:p>
        </w:tc>
      </w:tr>
      <w:tr w14:paraId="3F878858">
        <w:tblPrEx>
          <w:tblCellMar>
            <w:top w:w="0" w:type="dxa"/>
            <w:left w:w="108" w:type="dxa"/>
            <w:bottom w:w="0" w:type="dxa"/>
            <w:right w:w="108" w:type="dxa"/>
          </w:tblCellMar>
        </w:tblPrEx>
        <w:trPr>
          <w:trHeight w:val="630" w:hRule="atLeast"/>
          <w:jc w:val="center"/>
        </w:trPr>
        <w:tc>
          <w:tcPr>
            <w:tcW w:w="2002" w:type="dxa"/>
            <w:vAlign w:val="center"/>
          </w:tcPr>
          <w:p w14:paraId="3C0DB797">
            <w:pPr>
              <w:spacing w:line="400" w:lineRule="exact"/>
              <w:jc w:val="distribute"/>
              <w:rPr>
                <w:rFonts w:ascii="仿宋_GB2312" w:eastAsia="仿宋_GB2312"/>
                <w:sz w:val="28"/>
                <w:szCs w:val="28"/>
              </w:rPr>
            </w:pPr>
            <w:r>
              <w:rPr>
                <w:rFonts w:hint="eastAsia" w:ascii="仿宋_GB2312" w:eastAsia="仿宋_GB2312"/>
                <w:sz w:val="28"/>
                <w:szCs w:val="28"/>
              </w:rPr>
              <w:t>论文提交日期</w:t>
            </w:r>
          </w:p>
        </w:tc>
        <w:tc>
          <w:tcPr>
            <w:tcW w:w="3609" w:type="dxa"/>
            <w:tcBorders>
              <w:top w:val="single" w:color="auto" w:sz="4" w:space="0"/>
              <w:bottom w:val="single" w:color="auto" w:sz="4" w:space="0"/>
            </w:tcBorders>
            <w:vAlign w:val="center"/>
          </w:tcPr>
          <w:p w14:paraId="1034CCE8">
            <w:pPr>
              <w:spacing w:line="400" w:lineRule="exact"/>
              <w:rPr>
                <w:rFonts w:ascii="仿宋_GB2312" w:hAnsi="仿宋" w:eastAsia="仿宋_GB2312" w:cs="仿宋"/>
                <w:sz w:val="28"/>
                <w:szCs w:val="28"/>
              </w:rPr>
            </w:pPr>
            <w:r>
              <w:rPr>
                <w:rFonts w:hint="eastAsia" w:ascii="仿宋_GB2312" w:hAnsi="仿宋" w:eastAsia="仿宋_GB2312" w:cs="仿宋"/>
                <w:sz w:val="28"/>
                <w:szCs w:val="28"/>
              </w:rPr>
              <w:t xml:space="preserve">        年      月</w:t>
            </w:r>
          </w:p>
        </w:tc>
      </w:tr>
    </w:tbl>
    <w:p w14:paraId="61B0B63A">
      <w:pPr>
        <w:rPr>
          <w:rFonts w:hint="eastAsia"/>
          <w:b/>
          <w:bCs/>
          <w:sz w:val="32"/>
          <w:szCs w:val="32"/>
        </w:rPr>
      </w:pPr>
      <w:r>
        <w:rPr>
          <w:rFonts w:hint="eastAsia"/>
          <w:b/>
          <w:bCs/>
          <w:sz w:val="32"/>
          <w:szCs w:val="32"/>
        </w:rPr>
        <w:br w:type="page"/>
      </w:r>
    </w:p>
    <w:p w14:paraId="67C296AA">
      <w:pPr>
        <w:pStyle w:val="3"/>
        <w:spacing w:before="156" w:beforeLines="50" w:after="156" w:afterLines="50" w:line="400" w:lineRule="exact"/>
        <w:jc w:val="center"/>
        <w:rPr>
          <w:b/>
          <w:bCs/>
          <w:sz w:val="32"/>
          <w:szCs w:val="32"/>
        </w:rPr>
      </w:pPr>
      <w:r>
        <w:rPr>
          <w:rFonts w:hint="eastAsia"/>
          <w:b/>
          <w:bCs/>
          <w:sz w:val="32"/>
          <w:szCs w:val="32"/>
        </w:rPr>
        <w:t>摘 要</w:t>
      </w:r>
    </w:p>
    <w:p w14:paraId="27DBACCF">
      <w:pPr>
        <w:spacing w:line="400" w:lineRule="exact"/>
        <w:ind w:firstLine="480" w:firstLineChars="200"/>
        <w:rPr>
          <w:rFonts w:hint="eastAsia" w:ascii="宋体" w:hAnsi="宋体"/>
          <w:sz w:val="24"/>
        </w:rPr>
      </w:pPr>
      <w:r>
        <w:rPr>
          <w:rFonts w:hint="eastAsia" w:ascii="宋体" w:hAnsi="宋体"/>
          <w:sz w:val="24"/>
        </w:rPr>
        <w:t>随着互联网技术的快速发展，网络数据爬取行为日益频繁，如何有效识别和拦截恶意爬虫成为Web安全领域的重要课题。本文设计并实现了一套基于多层检测机制的智能反爬虫系统，该系统通过整合IP规则、User-Agent规则、Cookie规则、行为链路规则、浏览器指纹检测以及AI智能分析等多种技术手段，构建了多层次、全方位的爬虫检测与防护体系。</w:t>
      </w:r>
    </w:p>
    <w:p w14:paraId="78A4D599">
      <w:pPr>
        <w:spacing w:line="400" w:lineRule="exact"/>
        <w:ind w:firstLine="480" w:firstLineChars="200"/>
        <w:rPr>
          <w:rFonts w:hint="eastAsia" w:ascii="宋体" w:hAnsi="宋体"/>
          <w:sz w:val="24"/>
        </w:rPr>
      </w:pPr>
      <w:r>
        <w:rPr>
          <w:rFonts w:hint="eastAsia" w:ascii="宋体" w:hAnsi="宋体"/>
          <w:sz w:val="24"/>
        </w:rPr>
        <w:t>在IP防护层面，系统实现了基于时间窗口的访问频率限制机制，结合智能黑名单管理功能，支持从BotScout等威胁情报源自动爬取恶意IP地址，并支持用户手动添加黑名单。在User-Agent检测方面，系统能够识别设备类型（PC、移动端、IoT设备）、操作系统及代理访问等特征，并提供灵活的允许/禁止策略配置。Cookie规则模块实现了基于会话的访问控制，支持检查必要Cookie的存在性并对恶意Cookie进行拦截。</w:t>
      </w:r>
    </w:p>
    <w:p w14:paraId="6C07DDEF">
      <w:pPr>
        <w:spacing w:line="400" w:lineRule="exact"/>
        <w:ind w:firstLine="480" w:firstLineChars="200"/>
        <w:rPr>
          <w:rFonts w:hint="eastAsia" w:ascii="宋体" w:hAnsi="宋体"/>
          <w:sz w:val="24"/>
        </w:rPr>
      </w:pPr>
      <w:r>
        <w:rPr>
          <w:rFonts w:hint="eastAsia" w:ascii="宋体" w:hAnsi="宋体"/>
          <w:sz w:val="24"/>
        </w:rPr>
        <w:t>行为链路分析是本系统的核心创新点之一，通过Redis存储用户的访问路径历史，验证用户是否按照规定的业务逻辑顺序访问页面，有效识别自动化工具的异常访问模式。浏览器指纹检测模块在用户触发验证码时收集客户端环境特征，包括Canvas指纹、自动化标志检测等，能够精准识别Selenium等自动化浏览器工具。</w:t>
      </w:r>
    </w:p>
    <w:p w14:paraId="4B81AC67">
      <w:pPr>
        <w:spacing w:line="400" w:lineRule="exact"/>
        <w:ind w:firstLine="480" w:firstLineChars="200"/>
        <w:rPr>
          <w:rFonts w:hint="eastAsia" w:ascii="宋体" w:hAnsi="宋体"/>
          <w:sz w:val="24"/>
        </w:rPr>
      </w:pPr>
      <w:r>
        <w:rPr>
          <w:rFonts w:hint="eastAsia" w:ascii="宋体" w:hAnsi="宋体"/>
          <w:sz w:val="24"/>
        </w:rPr>
        <w:t>系统还创新性地集成了MiniMax AI大模型，对拦截的疑似爬虫流量进行深度分析，从请求频率、访问模式、User-Agent特征等多维度智能判断流量性质，显著降低了误拦截率，提高了反爬虫系统的智能化水平。</w:t>
      </w:r>
    </w:p>
    <w:p w14:paraId="64700099">
      <w:pPr>
        <w:spacing w:line="400" w:lineRule="exact"/>
        <w:ind w:firstLine="480" w:firstLineChars="200"/>
        <w:rPr>
          <w:rFonts w:hint="eastAsia" w:ascii="宋体" w:hAnsi="宋体"/>
          <w:sz w:val="24"/>
        </w:rPr>
      </w:pPr>
      <w:r>
        <w:rPr>
          <w:rFonts w:hint="eastAsia" w:ascii="宋体" w:hAnsi="宋体"/>
          <w:sz w:val="24"/>
        </w:rPr>
        <w:t>在架构设计上，系统采用Spring Boot框架实现后端服务，通过责任链设计模式组织多种拦截规则，支持灵活的热配置更新而无需重启服务。前端提供简洁直观的可视化控制台，支持规则配置、日志查看、黑名单管理等操作。实际部署应用表明，该系统能够有效识别和拦截各类爬虫流量，在保障正常用户访问体验的同时，显著提升了Web应用的安全防护能力。</w:t>
      </w:r>
    </w:p>
    <w:p w14:paraId="345D5D01">
      <w:pPr>
        <w:spacing w:line="400" w:lineRule="exact"/>
        <w:rPr>
          <w:rFonts w:hint="eastAsia" w:ascii="宋体" w:hAnsi="宋体"/>
          <w:sz w:val="24"/>
        </w:rPr>
      </w:pPr>
    </w:p>
    <w:p w14:paraId="506EB7CB">
      <w:pPr>
        <w:spacing w:line="400" w:lineRule="exact"/>
        <w:rPr>
          <w:rFonts w:hint="eastAsia" w:ascii="宋体" w:hAnsi="宋体"/>
          <w:sz w:val="24"/>
        </w:rPr>
      </w:pPr>
      <w:r>
        <w:rPr>
          <w:rFonts w:hint="eastAsia" w:ascii="宋体" w:hAnsi="宋体"/>
          <w:b/>
          <w:sz w:val="24"/>
        </w:rPr>
        <w:t>关键词：</w:t>
      </w:r>
      <w:r>
        <w:rPr>
          <w:rFonts w:hint="eastAsia" w:ascii="宋体" w:hAnsi="宋体"/>
          <w:sz w:val="24"/>
        </w:rPr>
        <w:t>反爬虫；浏览器指纹检测；行为链路分析；AI智能分析；Spring Boot</w:t>
      </w:r>
    </w:p>
    <w:p w14:paraId="6257849F">
      <w:pPr>
        <w:rPr>
          <w:rFonts w:hint="eastAsia" w:ascii="宋体" w:hAnsi="宋体"/>
          <w:sz w:val="24"/>
        </w:rPr>
      </w:pPr>
      <w:r>
        <w:rPr>
          <w:rFonts w:hint="eastAsia" w:ascii="宋体" w:hAnsi="宋体"/>
          <w:sz w:val="24"/>
        </w:rPr>
        <w:br w:type="page"/>
      </w:r>
    </w:p>
    <w:p w14:paraId="1F121472">
      <w:pPr>
        <w:autoSpaceDE w:val="0"/>
        <w:autoSpaceDN w:val="0"/>
        <w:adjustRightInd w:val="0"/>
        <w:spacing w:before="156" w:beforeLines="50" w:after="156" w:afterLines="50" w:line="400" w:lineRule="exact"/>
        <w:jc w:val="center"/>
        <w:rPr>
          <w:rFonts w:hint="eastAsia"/>
          <w:sz w:val="24"/>
          <w:lang w:val="en-US" w:eastAsia="zh-CN"/>
        </w:rPr>
      </w:pPr>
      <w:bookmarkStart w:id="1" w:name="_Toc199021861"/>
      <w:bookmarkStart w:id="2" w:name="_Toc166558384"/>
      <w:bookmarkStart w:id="3" w:name="_Toc199021591"/>
      <w:bookmarkStart w:id="4" w:name="_Toc199022336"/>
      <w:r>
        <w:rPr>
          <w:b/>
          <w:color w:val="000000"/>
          <w:kern w:val="0"/>
          <w:sz w:val="32"/>
          <w:szCs w:val="32"/>
        </w:rPr>
        <w:t>ABSTRACT</w:t>
      </w:r>
      <w:bookmarkEnd w:id="1"/>
      <w:bookmarkEnd w:id="2"/>
      <w:bookmarkEnd w:id="3"/>
      <w:bookmarkEnd w:id="4"/>
    </w:p>
    <w:p w14:paraId="0A1D6976">
      <w:pPr>
        <w:shd w:val="clear" w:color="auto" w:fill="FFFFFF"/>
        <w:spacing w:line="400" w:lineRule="exact"/>
        <w:ind w:firstLine="480" w:firstLineChars="200"/>
        <w:rPr>
          <w:rFonts w:hint="eastAsia"/>
          <w:sz w:val="24"/>
        </w:rPr>
      </w:pPr>
      <w:r>
        <w:rPr>
          <w:rFonts w:hint="eastAsia"/>
          <w:sz w:val="24"/>
          <w:lang w:val="en-US" w:eastAsia="zh-CN"/>
        </w:rPr>
        <w:t>With the rapid development of Internet technology, web data crawling has become increasingly frequent, making the effective identification and interception of malicious crawlers a critical issue in the field of web security. This paper designs and implements an intelligent anti-crawler system based on a multi-layer detection mechanism. By integrating multiple technical means including IP rules, User-Agent rules, Cookie rules, behavior chain rules, browser fingerprint detection, and AI intelligent analysis, the system constructs a multi-level and comprehensive crawler detection and protection system.</w:t>
      </w:r>
    </w:p>
    <w:p w14:paraId="63D6634A">
      <w:pPr>
        <w:shd w:val="clear" w:color="auto" w:fill="FFFFFF"/>
        <w:spacing w:line="400" w:lineRule="exact"/>
        <w:ind w:firstLine="480" w:firstLineChars="200"/>
        <w:rPr>
          <w:rFonts w:hint="eastAsia"/>
          <w:sz w:val="24"/>
        </w:rPr>
      </w:pPr>
      <w:r>
        <w:rPr>
          <w:rFonts w:hint="eastAsia"/>
          <w:sz w:val="24"/>
          <w:lang w:val="en-US" w:eastAsia="zh-CN"/>
        </w:rPr>
        <w:t>At the IP protection level, the system implements an access frequency limiting mechanism based on time windows, combined with an intelligent blacklist management function. It supports automatic crawling of malicious IP addresses from threat intelligence sources such as BotScout and allows users to manually add entries to the blacklist. In terms of User-Agent detection, the system can identify characteristics such as device type (PC, mobile, IoT devices), operating system, and proxy access, and provides flexible allow/deny policy configuration. The Cookie rule module implements session-based access control, supporting the verification of the existence of necessary cookies and the interception of malicious cookies.</w:t>
      </w:r>
    </w:p>
    <w:p w14:paraId="563307B8">
      <w:pPr>
        <w:shd w:val="clear" w:color="auto" w:fill="FFFFFF"/>
        <w:spacing w:line="400" w:lineRule="exact"/>
        <w:ind w:firstLine="480" w:firstLineChars="200"/>
        <w:rPr>
          <w:rFonts w:hint="eastAsia"/>
          <w:sz w:val="24"/>
        </w:rPr>
      </w:pPr>
      <w:r>
        <w:rPr>
          <w:rFonts w:hint="eastAsia"/>
          <w:sz w:val="24"/>
          <w:lang w:val="en-US" w:eastAsia="zh-CN"/>
        </w:rPr>
        <w:t>Behavior chain analysis is one of the core innovations of this system. It stores users' access path history through Redis and verifies whether users access pages in accordance with the prescribed business logic sequence, effectively identifying abnormal access patterns of automated tools. The browser fingerprint detection module collects client environment features when users trigger verification codes, including Canvas fingerprints and automation flag detection, which can accurately identify automated browser tools such as Selenium.</w:t>
      </w:r>
    </w:p>
    <w:p w14:paraId="1F2EFC1C">
      <w:pPr>
        <w:shd w:val="clear" w:color="auto" w:fill="FFFFFF"/>
        <w:spacing w:line="400" w:lineRule="exact"/>
        <w:ind w:firstLine="480" w:firstLineChars="200"/>
        <w:rPr>
          <w:rFonts w:hint="eastAsia"/>
          <w:sz w:val="24"/>
        </w:rPr>
      </w:pPr>
      <w:r>
        <w:rPr>
          <w:rFonts w:hint="eastAsia"/>
          <w:sz w:val="24"/>
          <w:lang w:val="en-US" w:eastAsia="zh-CN"/>
        </w:rPr>
        <w:t>The system also innovatively integrates the MiniMax AI large model to conduct in-depth analysis of intercepted suspected crawler traffic. It intelligently judges the nature of traffic from multiple dimensions such as request frequency, access patterns, and User-Agent characteristics, significantly reducing false interception rates and improving the intelligence level of the anti-crawler system.</w:t>
      </w:r>
    </w:p>
    <w:p w14:paraId="4463CB17">
      <w:pPr>
        <w:shd w:val="clear" w:color="auto" w:fill="FFFFFF"/>
        <w:spacing w:line="400" w:lineRule="exact"/>
        <w:ind w:firstLine="480" w:firstLineChars="200"/>
        <w:rPr>
          <w:rFonts w:hint="eastAsia"/>
          <w:sz w:val="24"/>
          <w:lang w:val="en-US" w:eastAsia="zh-CN"/>
        </w:rPr>
      </w:pPr>
      <w:r>
        <w:rPr>
          <w:rFonts w:hint="eastAsia"/>
          <w:sz w:val="24"/>
          <w:lang w:val="en-US" w:eastAsia="zh-CN"/>
        </w:rPr>
        <w:t>In terms of architecture design, the system uses the Spring Boot framework to implement backend services and organizes various interception rules through the Chain of Responsibility design pattern, supporting flexible hot configuration updates without service restart. The frontend provides a concise and intuitive visual console, supporting operations such as rule configuration, log viewing, and blacklist management. Practical deployment and application show that the system can effectively identify and intercept various types of crawler traffic, significantly enhancing the security protection capability of web applications while ensuring the access experience of normal users.</w:t>
      </w:r>
    </w:p>
    <w:p w14:paraId="68B9D451">
      <w:pPr>
        <w:spacing w:line="400" w:lineRule="exact"/>
        <w:ind w:firstLine="480" w:firstLineChars="200"/>
        <w:rPr>
          <w:rFonts w:hint="eastAsia" w:ascii="宋体" w:hAnsi="宋体"/>
          <w:sz w:val="24"/>
          <w:lang w:val="en-US" w:eastAsia="zh-CN"/>
        </w:rPr>
      </w:pPr>
    </w:p>
    <w:p w14:paraId="04F35A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sz w:val="24"/>
          <w:lang w:val="en-US" w:eastAsia="zh-CN"/>
        </w:rPr>
      </w:pPr>
      <w:r>
        <w:rPr>
          <w:rFonts w:hint="eastAsia"/>
          <w:b/>
          <w:sz w:val="24"/>
          <w:lang w:val="en-US" w:eastAsia="zh-CN"/>
        </w:rPr>
        <w:t xml:space="preserve">Keywords: </w:t>
      </w:r>
      <w:r>
        <w:rPr>
          <w:rFonts w:hint="eastAsia"/>
          <w:sz w:val="24"/>
          <w:lang w:val="en-US" w:eastAsia="zh-CN"/>
        </w:rPr>
        <w:t>Anti-crawler; Browser Fingerprint Detection; Behavior Chain Analysis; AI Intelligent Analysis; Spring Boot</w:t>
      </w:r>
    </w:p>
    <w:p w14:paraId="68E41D14">
      <w:pPr>
        <w:rPr>
          <w:rFonts w:hint="eastAsia"/>
          <w:sz w:val="24"/>
          <w:lang w:val="en-US" w:eastAsia="zh-CN"/>
        </w:rPr>
      </w:pPr>
      <w:r>
        <w:rPr>
          <w:rFonts w:hint="eastAsia"/>
          <w:sz w:val="24"/>
          <w:lang w:val="en-US" w:eastAsia="zh-CN"/>
        </w:rPr>
        <w:br w:type="page"/>
      </w:r>
    </w:p>
    <w:p w14:paraId="7D8E267A">
      <w:pPr>
        <w:pStyle w:val="3"/>
        <w:spacing w:before="156" w:beforeLines="50" w:after="156" w:afterLines="50" w:line="400" w:lineRule="exact"/>
        <w:jc w:val="center"/>
        <w:rPr>
          <w:b/>
          <w:bCs/>
          <w:color w:val="000000"/>
          <w:sz w:val="32"/>
          <w:szCs w:val="32"/>
        </w:rPr>
      </w:pPr>
      <w:r>
        <w:rPr>
          <w:rFonts w:hint="eastAsia"/>
          <w:b/>
          <w:bCs/>
          <w:sz w:val="32"/>
          <w:szCs w:val="32"/>
        </w:rPr>
        <w:t>目 录</w:t>
      </w:r>
    </w:p>
    <w:p w14:paraId="78AFC255">
      <w:pPr>
        <w:ind w:right="-88"/>
        <w:jc w:val="right"/>
      </w:pPr>
      <w:r>
        <w:rPr>
          <w:rFonts w:hint="eastAsia" w:ascii="宋体" w:hAnsi="宋体" w:cs="宋体"/>
          <w:kern w:val="0"/>
          <w:sz w:val="24"/>
        </w:rPr>
        <w:t>论文总页数：XX页</w:t>
      </w:r>
      <w:r>
        <w:fldChar w:fldCharType="begin"/>
      </w:r>
      <w:r>
        <w:rPr>
          <w:rStyle w:val="9"/>
          <w:color w:val="000000"/>
        </w:rPr>
        <w:instrText xml:space="preserve"> TOC \o "1-3" \h \z \u </w:instrText>
      </w:r>
      <w:r>
        <w:fldChar w:fldCharType="separate"/>
      </w:r>
    </w:p>
    <w:p w14:paraId="49BA0E82">
      <w:pPr>
        <w:pStyle w:val="4"/>
        <w:tabs>
          <w:tab w:val="right" w:leader="dot" w:pos="8302"/>
        </w:tabs>
        <w:spacing w:line="400" w:lineRule="exact"/>
        <w:rPr>
          <w:rFonts w:asciiTheme="minorEastAsia" w:hAnsiTheme="minorEastAsia" w:eastAsiaTheme="minorEastAsia" w:cstheme="minorBidi"/>
        </w:rPr>
      </w:pPr>
      <w:r>
        <w:fldChar w:fldCharType="begin"/>
      </w:r>
      <w:r>
        <w:instrText xml:space="preserve"> HYPERLINK \l "_Toc211345770" </w:instrText>
      </w:r>
      <w:r>
        <w:fldChar w:fldCharType="separate"/>
      </w:r>
      <w:r>
        <w:rPr>
          <w:rStyle w:val="9"/>
          <w:rFonts w:asciiTheme="minorEastAsia" w:hAnsiTheme="minorEastAsia" w:eastAsiaTheme="minorEastAsia"/>
        </w:rPr>
        <w:t>第一章 绪论</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_Toc211345770 \h </w:instrText>
      </w:r>
      <w:r>
        <w:rPr>
          <w:rFonts w:asciiTheme="minorEastAsia" w:hAnsiTheme="minorEastAsia" w:eastAsiaTheme="minorEastAsia"/>
        </w:rPr>
        <w:fldChar w:fldCharType="separate"/>
      </w:r>
      <w:r>
        <w:rPr>
          <w:rFonts w:asciiTheme="minorEastAsia" w:hAnsiTheme="minorEastAsia" w:eastAsiaTheme="minorEastAsia"/>
        </w:rPr>
        <w:t>4</w:t>
      </w:r>
      <w:r>
        <w:rPr>
          <w:rFonts w:asciiTheme="minorEastAsia" w:hAnsiTheme="minorEastAsia" w:eastAsiaTheme="minorEastAsia"/>
        </w:rPr>
        <w:fldChar w:fldCharType="end"/>
      </w:r>
      <w:r>
        <w:rPr>
          <w:rFonts w:asciiTheme="minorEastAsia" w:hAnsiTheme="minorEastAsia" w:eastAsiaTheme="minorEastAsia"/>
        </w:rPr>
        <w:fldChar w:fldCharType="end"/>
      </w:r>
    </w:p>
    <w:p w14:paraId="32B983BF">
      <w:pPr>
        <w:pStyle w:val="5"/>
        <w:rPr>
          <w:rFonts w:asciiTheme="minorEastAsia" w:hAnsiTheme="minorEastAsia" w:eastAsiaTheme="minorEastAsia" w:cstheme="minorBidi"/>
          <w:sz w:val="24"/>
        </w:rPr>
      </w:pPr>
      <w:r>
        <w:fldChar w:fldCharType="begin"/>
      </w:r>
      <w:r>
        <w:instrText xml:space="preserve"> HYPERLINK \l "_Toc211345771" </w:instrText>
      </w:r>
      <w:r>
        <w:fldChar w:fldCharType="separate"/>
      </w:r>
      <w:r>
        <w:rPr>
          <w:rStyle w:val="9"/>
          <w:rFonts w:asciiTheme="minorEastAsia" w:hAnsiTheme="minorEastAsia" w:eastAsiaTheme="minorEastAsia"/>
          <w:sz w:val="24"/>
        </w:rPr>
        <w:t>1.1 课题研究的重要意义</w:t>
      </w:r>
      <w:r>
        <w:rPr>
          <w:rFonts w:asciiTheme="minorEastAsia" w:hAnsiTheme="minorEastAsia" w:eastAsiaTheme="minorEastAsia"/>
          <w:sz w:val="24"/>
        </w:rPr>
        <w:tab/>
      </w:r>
      <w:r>
        <w:rPr>
          <w:rFonts w:asciiTheme="minorEastAsia" w:hAnsiTheme="minorEastAsia" w:eastAsiaTheme="minorEastAsia"/>
          <w:sz w:val="24"/>
        </w:rPr>
        <w:fldChar w:fldCharType="begin"/>
      </w:r>
      <w:r>
        <w:rPr>
          <w:rFonts w:asciiTheme="minorEastAsia" w:hAnsiTheme="minorEastAsia" w:eastAsiaTheme="minorEastAsia"/>
          <w:sz w:val="24"/>
        </w:rPr>
        <w:instrText xml:space="preserve"> PAGEREF _Toc211345771 \h </w:instrText>
      </w:r>
      <w:r>
        <w:rPr>
          <w:rFonts w:asciiTheme="minorEastAsia" w:hAnsiTheme="minorEastAsia" w:eastAsiaTheme="minorEastAsia"/>
          <w:sz w:val="24"/>
        </w:rPr>
        <w:fldChar w:fldCharType="separate"/>
      </w:r>
      <w:r>
        <w:rPr>
          <w:rFonts w:asciiTheme="minorEastAsia" w:hAnsiTheme="minorEastAsia" w:eastAsiaTheme="minorEastAsia"/>
          <w:sz w:val="24"/>
        </w:rPr>
        <w:t>1</w:t>
      </w:r>
      <w:r>
        <w:rPr>
          <w:rFonts w:asciiTheme="minorEastAsia" w:hAnsiTheme="minorEastAsia" w:eastAsiaTheme="minorEastAsia"/>
          <w:sz w:val="24"/>
        </w:rPr>
        <w:fldChar w:fldCharType="end"/>
      </w:r>
      <w:r>
        <w:rPr>
          <w:rFonts w:asciiTheme="minorEastAsia" w:hAnsiTheme="minorEastAsia" w:eastAsiaTheme="minorEastAsia"/>
          <w:sz w:val="24"/>
        </w:rPr>
        <w:fldChar w:fldCharType="end"/>
      </w:r>
    </w:p>
    <w:p w14:paraId="2F00791F">
      <w:pPr>
        <w:pStyle w:val="5"/>
        <w:rPr>
          <w:rFonts w:asciiTheme="minorEastAsia" w:hAnsiTheme="minorEastAsia" w:eastAsiaTheme="minorEastAsia" w:cstheme="minorBidi"/>
          <w:sz w:val="24"/>
        </w:rPr>
      </w:pPr>
      <w:r>
        <w:fldChar w:fldCharType="begin"/>
      </w:r>
      <w:r>
        <w:instrText xml:space="preserve"> HYPERLINK \l "_Toc211345772" </w:instrText>
      </w:r>
      <w:r>
        <w:fldChar w:fldCharType="separate"/>
      </w:r>
      <w:r>
        <w:rPr>
          <w:rStyle w:val="9"/>
          <w:rFonts w:asciiTheme="minorEastAsia" w:hAnsiTheme="minorEastAsia" w:eastAsiaTheme="minorEastAsia"/>
          <w:sz w:val="24"/>
        </w:rPr>
        <w:t>1.2 雪深自动测量的研究现状</w:t>
      </w:r>
      <w:r>
        <w:rPr>
          <w:rFonts w:asciiTheme="minorEastAsia" w:hAnsiTheme="minorEastAsia" w:eastAsiaTheme="minorEastAsia"/>
          <w:sz w:val="24"/>
        </w:rPr>
        <w:tab/>
      </w:r>
      <w:r>
        <w:rPr>
          <w:rFonts w:asciiTheme="minorEastAsia" w:hAnsiTheme="minorEastAsia" w:eastAsiaTheme="minorEastAsia"/>
          <w:sz w:val="24"/>
        </w:rPr>
        <w:fldChar w:fldCharType="begin"/>
      </w:r>
      <w:r>
        <w:rPr>
          <w:rFonts w:asciiTheme="minorEastAsia" w:hAnsiTheme="minorEastAsia" w:eastAsiaTheme="minorEastAsia"/>
          <w:sz w:val="24"/>
        </w:rPr>
        <w:instrText xml:space="preserve"> PAGEREF _Toc211345772 \h </w:instrText>
      </w:r>
      <w:r>
        <w:rPr>
          <w:rFonts w:asciiTheme="minorEastAsia" w:hAnsiTheme="minorEastAsia" w:eastAsiaTheme="minorEastAsia"/>
          <w:sz w:val="24"/>
        </w:rPr>
        <w:fldChar w:fldCharType="separate"/>
      </w:r>
      <w:r>
        <w:rPr>
          <w:rFonts w:asciiTheme="minorEastAsia" w:hAnsiTheme="minorEastAsia" w:eastAsiaTheme="minorEastAsia"/>
          <w:sz w:val="24"/>
        </w:rPr>
        <w:t>1</w:t>
      </w:r>
      <w:r>
        <w:rPr>
          <w:rFonts w:asciiTheme="minorEastAsia" w:hAnsiTheme="minorEastAsia" w:eastAsiaTheme="minorEastAsia"/>
          <w:sz w:val="24"/>
        </w:rPr>
        <w:fldChar w:fldCharType="end"/>
      </w:r>
      <w:r>
        <w:rPr>
          <w:rFonts w:asciiTheme="minorEastAsia" w:hAnsiTheme="minorEastAsia" w:eastAsiaTheme="minorEastAsia"/>
          <w:sz w:val="24"/>
        </w:rPr>
        <w:fldChar w:fldCharType="end"/>
      </w:r>
    </w:p>
    <w:p w14:paraId="389C9CFF">
      <w:pPr>
        <w:pStyle w:val="2"/>
        <w:rPr>
          <w:rFonts w:asciiTheme="minorEastAsia" w:hAnsiTheme="minorEastAsia" w:eastAsiaTheme="minorEastAsia" w:cstheme="minorBidi"/>
          <w:sz w:val="24"/>
        </w:rPr>
      </w:pPr>
      <w:r>
        <w:fldChar w:fldCharType="begin"/>
      </w:r>
      <w:r>
        <w:instrText xml:space="preserve"> HYPERLINK \l "_Toc211345773" </w:instrText>
      </w:r>
      <w:r>
        <w:fldChar w:fldCharType="separate"/>
      </w:r>
      <w:r>
        <w:rPr>
          <w:rStyle w:val="9"/>
          <w:rFonts w:asciiTheme="minorEastAsia" w:hAnsiTheme="minorEastAsia" w:eastAsiaTheme="minorEastAsia"/>
          <w:sz w:val="24"/>
        </w:rPr>
        <w:t>1.2.1 几种常用的雪深测量方法</w:t>
      </w:r>
      <w:r>
        <w:rPr>
          <w:rFonts w:asciiTheme="minorEastAsia" w:hAnsiTheme="minorEastAsia" w:eastAsiaTheme="minorEastAsia"/>
          <w:sz w:val="24"/>
        </w:rPr>
        <w:tab/>
      </w:r>
      <w:r>
        <w:rPr>
          <w:rFonts w:asciiTheme="minorEastAsia" w:hAnsiTheme="minorEastAsia" w:eastAsiaTheme="minorEastAsia"/>
          <w:sz w:val="24"/>
        </w:rPr>
        <w:fldChar w:fldCharType="begin"/>
      </w:r>
      <w:r>
        <w:rPr>
          <w:rFonts w:asciiTheme="minorEastAsia" w:hAnsiTheme="minorEastAsia" w:eastAsiaTheme="minorEastAsia"/>
          <w:sz w:val="24"/>
        </w:rPr>
        <w:instrText xml:space="preserve"> PAGEREF _Toc211345773 \h </w:instrText>
      </w:r>
      <w:r>
        <w:rPr>
          <w:rFonts w:asciiTheme="minorEastAsia" w:hAnsiTheme="minorEastAsia" w:eastAsiaTheme="minorEastAsia"/>
          <w:sz w:val="24"/>
        </w:rPr>
        <w:fldChar w:fldCharType="separate"/>
      </w:r>
      <w:r>
        <w:rPr>
          <w:rFonts w:asciiTheme="minorEastAsia" w:hAnsiTheme="minorEastAsia" w:eastAsiaTheme="minorEastAsia"/>
          <w:sz w:val="24"/>
        </w:rPr>
        <w:t>1</w:t>
      </w:r>
      <w:r>
        <w:rPr>
          <w:rFonts w:asciiTheme="minorEastAsia" w:hAnsiTheme="minorEastAsia" w:eastAsiaTheme="minorEastAsia"/>
          <w:sz w:val="24"/>
        </w:rPr>
        <w:fldChar w:fldCharType="end"/>
      </w:r>
      <w:r>
        <w:rPr>
          <w:rFonts w:asciiTheme="minorEastAsia" w:hAnsiTheme="minorEastAsia" w:eastAsiaTheme="minorEastAsia"/>
          <w:sz w:val="24"/>
        </w:rPr>
        <w:fldChar w:fldCharType="end"/>
      </w:r>
    </w:p>
    <w:p w14:paraId="205ECD0A">
      <w:pPr>
        <w:pStyle w:val="4"/>
        <w:tabs>
          <w:tab w:val="right" w:leader="dot" w:pos="8302"/>
        </w:tabs>
        <w:spacing w:line="400" w:lineRule="exact"/>
        <w:rPr>
          <w:rFonts w:asciiTheme="minorEastAsia" w:hAnsiTheme="minorEastAsia" w:eastAsiaTheme="minorEastAsia" w:cstheme="minorBidi"/>
        </w:rPr>
      </w:pPr>
      <w:r>
        <w:fldChar w:fldCharType="begin"/>
      </w:r>
      <w:r>
        <w:instrText xml:space="preserve"> HYPERLINK \l "_Toc211345774" </w:instrText>
      </w:r>
      <w:r>
        <w:fldChar w:fldCharType="separate"/>
      </w:r>
      <w:r>
        <w:rPr>
          <w:rStyle w:val="9"/>
          <w:rFonts w:asciiTheme="minorEastAsia" w:hAnsiTheme="minorEastAsia" w:eastAsiaTheme="minorEastAsia"/>
        </w:rPr>
        <w:t>第五章 结论与展望</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_Toc211345774 \h </w:instrText>
      </w:r>
      <w:r>
        <w:rPr>
          <w:rFonts w:asciiTheme="minorEastAsia" w:hAnsiTheme="minorEastAsia" w:eastAsiaTheme="minorEastAsia"/>
        </w:rPr>
        <w:fldChar w:fldCharType="separate"/>
      </w:r>
      <w:r>
        <w:rPr>
          <w:rFonts w:asciiTheme="minorEastAsia" w:hAnsiTheme="minorEastAsia" w:eastAsiaTheme="minorEastAsia"/>
        </w:rPr>
        <w:t>5</w:t>
      </w:r>
      <w:r>
        <w:rPr>
          <w:rFonts w:asciiTheme="minorEastAsia" w:hAnsiTheme="minorEastAsia" w:eastAsiaTheme="minorEastAsia"/>
        </w:rPr>
        <w:fldChar w:fldCharType="end"/>
      </w:r>
      <w:r>
        <w:rPr>
          <w:rFonts w:asciiTheme="minorEastAsia" w:hAnsiTheme="minorEastAsia" w:eastAsiaTheme="minorEastAsia"/>
        </w:rPr>
        <w:fldChar w:fldCharType="end"/>
      </w:r>
    </w:p>
    <w:p w14:paraId="39747E3D">
      <w:pPr>
        <w:pStyle w:val="5"/>
        <w:rPr>
          <w:rFonts w:asciiTheme="minorEastAsia" w:hAnsiTheme="minorEastAsia" w:eastAsiaTheme="minorEastAsia" w:cstheme="minorBidi"/>
          <w:sz w:val="24"/>
        </w:rPr>
      </w:pPr>
      <w:r>
        <w:fldChar w:fldCharType="begin"/>
      </w:r>
      <w:r>
        <w:instrText xml:space="preserve"> HYPERLINK \l "_Toc211345775" </w:instrText>
      </w:r>
      <w:r>
        <w:fldChar w:fldCharType="separate"/>
      </w:r>
      <w:r>
        <w:rPr>
          <w:rStyle w:val="9"/>
          <w:rFonts w:asciiTheme="minorEastAsia" w:hAnsiTheme="minorEastAsia" w:eastAsiaTheme="minorEastAsia"/>
          <w:sz w:val="24"/>
        </w:rPr>
        <w:t>5.1 结论</w:t>
      </w:r>
      <w:r>
        <w:rPr>
          <w:rFonts w:asciiTheme="minorEastAsia" w:hAnsiTheme="minorEastAsia" w:eastAsiaTheme="minorEastAsia"/>
          <w:sz w:val="24"/>
        </w:rPr>
        <w:tab/>
      </w:r>
      <w:r>
        <w:rPr>
          <w:rFonts w:asciiTheme="minorEastAsia" w:hAnsiTheme="minorEastAsia" w:eastAsiaTheme="minorEastAsia"/>
          <w:sz w:val="24"/>
        </w:rPr>
        <w:fldChar w:fldCharType="begin"/>
      </w:r>
      <w:r>
        <w:rPr>
          <w:rFonts w:asciiTheme="minorEastAsia" w:hAnsiTheme="minorEastAsia" w:eastAsiaTheme="minorEastAsia"/>
          <w:sz w:val="24"/>
        </w:rPr>
        <w:instrText xml:space="preserve"> PAGEREF _Toc211345775 \h </w:instrText>
      </w:r>
      <w:r>
        <w:rPr>
          <w:rFonts w:asciiTheme="minorEastAsia" w:hAnsiTheme="minorEastAsia" w:eastAsiaTheme="minorEastAsia"/>
          <w:sz w:val="24"/>
        </w:rPr>
        <w:fldChar w:fldCharType="separate"/>
      </w:r>
      <w:r>
        <w:rPr>
          <w:rFonts w:asciiTheme="minorEastAsia" w:hAnsiTheme="minorEastAsia" w:eastAsiaTheme="minorEastAsia"/>
          <w:sz w:val="24"/>
        </w:rPr>
        <w:t>6</w:t>
      </w:r>
      <w:r>
        <w:rPr>
          <w:rFonts w:asciiTheme="minorEastAsia" w:hAnsiTheme="minorEastAsia" w:eastAsiaTheme="minorEastAsia"/>
          <w:sz w:val="24"/>
        </w:rPr>
        <w:fldChar w:fldCharType="end"/>
      </w:r>
      <w:r>
        <w:rPr>
          <w:rFonts w:asciiTheme="minorEastAsia" w:hAnsiTheme="minorEastAsia" w:eastAsiaTheme="minorEastAsia"/>
          <w:sz w:val="24"/>
        </w:rPr>
        <w:fldChar w:fldCharType="end"/>
      </w:r>
    </w:p>
    <w:p w14:paraId="08242DBE">
      <w:pPr>
        <w:pStyle w:val="5"/>
        <w:rPr>
          <w:rFonts w:asciiTheme="minorEastAsia" w:hAnsiTheme="minorEastAsia" w:eastAsiaTheme="minorEastAsia" w:cstheme="minorBidi"/>
          <w:sz w:val="24"/>
        </w:rPr>
      </w:pPr>
      <w:r>
        <w:fldChar w:fldCharType="begin"/>
      </w:r>
      <w:r>
        <w:instrText xml:space="preserve"> HYPERLINK \l "_Toc211345776" </w:instrText>
      </w:r>
      <w:r>
        <w:fldChar w:fldCharType="separate"/>
      </w:r>
      <w:r>
        <w:rPr>
          <w:rStyle w:val="9"/>
          <w:rFonts w:asciiTheme="minorEastAsia" w:hAnsiTheme="minorEastAsia" w:eastAsiaTheme="minorEastAsia"/>
          <w:sz w:val="24"/>
        </w:rPr>
        <w:t>5.2 展望</w:t>
      </w:r>
      <w:r>
        <w:rPr>
          <w:rFonts w:asciiTheme="minorEastAsia" w:hAnsiTheme="minorEastAsia" w:eastAsiaTheme="minorEastAsia"/>
          <w:sz w:val="24"/>
        </w:rPr>
        <w:tab/>
      </w:r>
      <w:r>
        <w:rPr>
          <w:rFonts w:asciiTheme="minorEastAsia" w:hAnsiTheme="minorEastAsia" w:eastAsiaTheme="minorEastAsia"/>
          <w:sz w:val="24"/>
        </w:rPr>
        <w:fldChar w:fldCharType="begin"/>
      </w:r>
      <w:r>
        <w:rPr>
          <w:rFonts w:asciiTheme="minorEastAsia" w:hAnsiTheme="minorEastAsia" w:eastAsiaTheme="minorEastAsia"/>
          <w:sz w:val="24"/>
        </w:rPr>
        <w:instrText xml:space="preserve"> PAGEREF _Toc211345776 \h </w:instrText>
      </w:r>
      <w:r>
        <w:rPr>
          <w:rFonts w:asciiTheme="minorEastAsia" w:hAnsiTheme="minorEastAsia" w:eastAsiaTheme="minorEastAsia"/>
          <w:sz w:val="24"/>
        </w:rPr>
        <w:fldChar w:fldCharType="separate"/>
      </w:r>
      <w:r>
        <w:rPr>
          <w:rFonts w:asciiTheme="minorEastAsia" w:hAnsiTheme="minorEastAsia" w:eastAsiaTheme="minorEastAsia"/>
          <w:sz w:val="24"/>
        </w:rPr>
        <w:t>6</w:t>
      </w:r>
      <w:r>
        <w:rPr>
          <w:rFonts w:asciiTheme="minorEastAsia" w:hAnsiTheme="minorEastAsia" w:eastAsiaTheme="minorEastAsia"/>
          <w:sz w:val="24"/>
        </w:rPr>
        <w:fldChar w:fldCharType="end"/>
      </w:r>
      <w:r>
        <w:rPr>
          <w:rFonts w:asciiTheme="minorEastAsia" w:hAnsiTheme="minorEastAsia" w:eastAsiaTheme="minorEastAsia"/>
          <w:sz w:val="24"/>
        </w:rPr>
        <w:fldChar w:fldCharType="end"/>
      </w:r>
    </w:p>
    <w:p w14:paraId="6CA11805">
      <w:pPr>
        <w:pStyle w:val="4"/>
        <w:tabs>
          <w:tab w:val="right" w:leader="dot" w:pos="8302"/>
        </w:tabs>
        <w:spacing w:line="400" w:lineRule="exact"/>
        <w:rPr>
          <w:rFonts w:asciiTheme="minorEastAsia" w:hAnsiTheme="minorEastAsia" w:eastAsiaTheme="minorEastAsia" w:cstheme="minorBidi"/>
        </w:rPr>
      </w:pPr>
      <w:r>
        <w:fldChar w:fldCharType="begin"/>
      </w:r>
      <w:r>
        <w:instrText xml:space="preserve"> HYPERLINK \l "_Toc211345777" </w:instrText>
      </w:r>
      <w:r>
        <w:fldChar w:fldCharType="separate"/>
      </w:r>
      <w:r>
        <w:rPr>
          <w:rStyle w:val="9"/>
          <w:rFonts w:asciiTheme="minorEastAsia" w:hAnsiTheme="minorEastAsia" w:eastAsiaTheme="minorEastAsia"/>
        </w:rPr>
        <w:t>参考文献</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_Toc211345777 \h </w:instrText>
      </w:r>
      <w:r>
        <w:rPr>
          <w:rFonts w:asciiTheme="minorEastAsia" w:hAnsiTheme="minorEastAsia" w:eastAsiaTheme="minorEastAsia"/>
        </w:rPr>
        <w:fldChar w:fldCharType="separate"/>
      </w:r>
      <w:r>
        <w:rPr>
          <w:rFonts w:asciiTheme="minorEastAsia" w:hAnsiTheme="minorEastAsia" w:eastAsiaTheme="minorEastAsia"/>
        </w:rPr>
        <w:t>7</w:t>
      </w:r>
      <w:r>
        <w:rPr>
          <w:rFonts w:asciiTheme="minorEastAsia" w:hAnsiTheme="minorEastAsia" w:eastAsiaTheme="minorEastAsia"/>
        </w:rPr>
        <w:fldChar w:fldCharType="end"/>
      </w:r>
      <w:r>
        <w:rPr>
          <w:rFonts w:asciiTheme="minorEastAsia" w:hAnsiTheme="minorEastAsia" w:eastAsiaTheme="minorEastAsia"/>
        </w:rPr>
        <w:fldChar w:fldCharType="end"/>
      </w:r>
    </w:p>
    <w:p w14:paraId="25B277DA">
      <w:pPr>
        <w:pStyle w:val="4"/>
        <w:tabs>
          <w:tab w:val="right" w:leader="dot" w:pos="8302"/>
        </w:tabs>
        <w:spacing w:line="400" w:lineRule="exact"/>
        <w:rPr>
          <w:rFonts w:asciiTheme="minorEastAsia" w:hAnsiTheme="minorEastAsia" w:eastAsiaTheme="minorEastAsia" w:cstheme="minorBidi"/>
        </w:rPr>
      </w:pPr>
      <w:r>
        <w:fldChar w:fldCharType="begin"/>
      </w:r>
      <w:r>
        <w:instrText xml:space="preserve"> HYPERLINK \l "_Toc211345778" </w:instrText>
      </w:r>
      <w:r>
        <w:fldChar w:fldCharType="separate"/>
      </w:r>
      <w:r>
        <w:rPr>
          <w:rStyle w:val="9"/>
          <w:rFonts w:asciiTheme="minorEastAsia" w:hAnsiTheme="minorEastAsia" w:eastAsiaTheme="minorEastAsia"/>
        </w:rPr>
        <w:t>附 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_Toc211345778 \h </w:instrText>
      </w:r>
      <w:r>
        <w:rPr>
          <w:rFonts w:asciiTheme="minorEastAsia" w:hAnsiTheme="minorEastAsia" w:eastAsiaTheme="minorEastAsia"/>
        </w:rPr>
        <w:fldChar w:fldCharType="separate"/>
      </w:r>
      <w:r>
        <w:rPr>
          <w:rFonts w:asciiTheme="minorEastAsia" w:hAnsiTheme="minorEastAsia" w:eastAsiaTheme="minorEastAsia"/>
        </w:rPr>
        <w:t>8</w:t>
      </w:r>
      <w:r>
        <w:rPr>
          <w:rFonts w:asciiTheme="minorEastAsia" w:hAnsiTheme="minorEastAsia" w:eastAsiaTheme="minorEastAsia"/>
        </w:rPr>
        <w:fldChar w:fldCharType="end"/>
      </w:r>
      <w:r>
        <w:rPr>
          <w:rFonts w:asciiTheme="minorEastAsia" w:hAnsiTheme="minorEastAsia" w:eastAsiaTheme="minorEastAsia"/>
        </w:rPr>
        <w:fldChar w:fldCharType="end"/>
      </w:r>
    </w:p>
    <w:p w14:paraId="5ECCA550">
      <w:pPr>
        <w:pStyle w:val="4"/>
        <w:tabs>
          <w:tab w:val="right" w:leader="dot" w:pos="8302"/>
        </w:tabs>
        <w:spacing w:line="400" w:lineRule="exact"/>
        <w:rPr>
          <w:rFonts w:asciiTheme="minorEastAsia" w:hAnsiTheme="minorEastAsia" w:eastAsiaTheme="minorEastAsia" w:cstheme="minorBidi"/>
        </w:rPr>
      </w:pPr>
      <w:r>
        <w:fldChar w:fldCharType="begin"/>
      </w:r>
      <w:r>
        <w:instrText xml:space="preserve"> HYPERLINK \l "_Toc211345779" </w:instrText>
      </w:r>
      <w:r>
        <w:fldChar w:fldCharType="separate"/>
      </w:r>
      <w:r>
        <w:rPr>
          <w:rStyle w:val="9"/>
          <w:rFonts w:asciiTheme="minorEastAsia" w:hAnsiTheme="minorEastAsia" w:eastAsiaTheme="minorEastAsia"/>
        </w:rPr>
        <w:t>致 谢</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_Toc211345779 \h </w:instrText>
      </w:r>
      <w:r>
        <w:rPr>
          <w:rFonts w:asciiTheme="minorEastAsia" w:hAnsiTheme="minorEastAsia" w:eastAsiaTheme="minorEastAsia"/>
        </w:rPr>
        <w:fldChar w:fldCharType="separate"/>
      </w:r>
      <w:r>
        <w:rPr>
          <w:rFonts w:asciiTheme="minorEastAsia" w:hAnsiTheme="minorEastAsia" w:eastAsiaTheme="minorEastAsia"/>
        </w:rPr>
        <w:t>9</w:t>
      </w:r>
      <w:r>
        <w:rPr>
          <w:rFonts w:asciiTheme="minorEastAsia" w:hAnsiTheme="minorEastAsia" w:eastAsiaTheme="minorEastAsia"/>
        </w:rPr>
        <w:fldChar w:fldCharType="end"/>
      </w:r>
      <w:r>
        <w:rPr>
          <w:rFonts w:asciiTheme="minorEastAsia" w:hAnsiTheme="minorEastAsia" w:eastAsiaTheme="minorEastAsia"/>
        </w:rPr>
        <w:fldChar w:fldCharType="end"/>
      </w:r>
    </w:p>
    <w:p w14:paraId="390F26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sz w:val="24"/>
          <w:lang w:val="en-US" w:eastAsia="zh-CN"/>
        </w:rPr>
      </w:pPr>
      <w:r>
        <w:fldChar w:fldCharType="end"/>
      </w:r>
    </w:p>
    <w:p w14:paraId="4140E6E9">
      <w:pPr>
        <w:spacing w:line="400" w:lineRule="exact"/>
        <w:rPr>
          <w:rFonts w:hint="eastAsia" w:ascii="宋体" w:hAnsi="宋体"/>
          <w:sz w:val="24"/>
        </w:rPr>
      </w:pPr>
      <w:bookmarkStart w:id="5" w:name="_GoBack"/>
      <w:bookmarkEnd w:id="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AdobeSongStd-Light">
    <w:altName w:val="黑体"/>
    <w:panose1 w:val="00000000000000000000"/>
    <w:charset w:val="86"/>
    <w:family w:val="auto"/>
    <w:pitch w:val="default"/>
    <w:sig w:usb0="00000000" w:usb1="00000000" w:usb2="00000010" w:usb3="00000000" w:csb0="00040000" w:csb1="00000000"/>
  </w:font>
  <w:font w:name="KSOFE44F9426">
    <w:panose1 w:val="02010609060101010101"/>
    <w:charset w:val="86"/>
    <w:family w:val="auto"/>
    <w:pitch w:val="default"/>
    <w:sig w:usb0="00000001" w:usb1="00000000" w:usb2="00000000" w:usb3="00000000" w:csb0="00040001" w:csb1="00000000"/>
  </w:font>
  <w:font w:name="宋体-方正超大字符集">
    <w:altName w:val="宋体"/>
    <w:panose1 w:val="00000000000000000000"/>
    <w:charset w:val="86"/>
    <w:family w:val="script"/>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Noto Sans SC">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F84393"/>
    <w:rsid w:val="518C056C"/>
    <w:rsid w:val="6BA33CC0"/>
    <w:rsid w:val="77A004D5"/>
    <w:rsid w:val="7B032C57"/>
    <w:rsid w:val="7CB95C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toc 3"/>
    <w:basedOn w:val="1"/>
    <w:next w:val="1"/>
    <w:unhideWhenUsed/>
    <w:qFormat/>
    <w:uiPriority w:val="39"/>
    <w:pPr>
      <w:tabs>
        <w:tab w:val="right" w:leader="dot" w:pos="8296"/>
      </w:tabs>
      <w:spacing w:line="400" w:lineRule="exact"/>
      <w:ind w:left="840" w:leftChars="400"/>
    </w:pPr>
  </w:style>
  <w:style w:type="paragraph" w:styleId="3">
    <w:name w:val="Plain Text"/>
    <w:basedOn w:val="1"/>
    <w:qFormat/>
    <w:uiPriority w:val="0"/>
    <w:rPr>
      <w:rFonts w:ascii="宋体" w:hAnsi="Courier New"/>
      <w:szCs w:val="20"/>
    </w:rPr>
  </w:style>
  <w:style w:type="paragraph" w:styleId="4">
    <w:name w:val="toc 1"/>
    <w:basedOn w:val="1"/>
    <w:next w:val="1"/>
    <w:unhideWhenUsed/>
    <w:qFormat/>
    <w:uiPriority w:val="39"/>
    <w:pPr>
      <w:jc w:val="left"/>
    </w:pPr>
    <w:rPr>
      <w:rFonts w:ascii="宋体" w:hAnsi="宋体"/>
      <w:sz w:val="24"/>
    </w:rPr>
  </w:style>
  <w:style w:type="paragraph" w:styleId="5">
    <w:name w:val="toc 2"/>
    <w:basedOn w:val="1"/>
    <w:next w:val="1"/>
    <w:unhideWhenUsed/>
    <w:qFormat/>
    <w:uiPriority w:val="39"/>
    <w:pPr>
      <w:tabs>
        <w:tab w:val="right" w:leader="dot" w:pos="8296"/>
      </w:tabs>
      <w:spacing w:line="400" w:lineRule="exact"/>
      <w:ind w:left="420" w:leftChars="200"/>
    </w:pPr>
  </w:style>
  <w:style w:type="character" w:styleId="8">
    <w:name w:val="Strong"/>
    <w:basedOn w:val="7"/>
    <w:qFormat/>
    <w:uiPriority w:val="0"/>
    <w:rPr>
      <w:b/>
    </w:rPr>
  </w:style>
  <w:style w:type="character" w:styleId="9">
    <w:name w:val="Hyperlink"/>
    <w:qFormat/>
    <w:uiPriority w:val="99"/>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2026-04-17T11:31:39Z</dcterms:created>
  <dc:creator>ycx</dc:creator>
  <cp:lastModifiedBy>WPS_1685608756</cp:lastModifiedBy>
  <dcterms:modified xsi:type="dcterms:W3CDTF">2026-04-17T12:12:53Z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eyJoZGlkIjoiYzFhZGY0ZTViYWQyN2I0ZGJhNDk0OThkMjNkNmQ2MDYiLCJ1c2VySWQiOiIxNDk3NTQxNzAxIn0=</vt:lpwstr>
  </property>
  <property fmtid="{D5CDD505-2E9C-101B-9397-08002B2CF9AE}" pid="4" name="ICV">
    <vt:lpwstr>7D9C377AE81047D1B569617F98D32161_12</vt:lpwstr>
  </property>
</Properties>
</file>