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AB11" w14:textId="77777777" w:rsidR="00912A48" w:rsidRDefault="00000000">
      <w:pPr>
        <w:rPr>
          <w:b/>
          <w:bCs/>
        </w:rPr>
      </w:pPr>
      <w:r>
        <w:rPr>
          <w:rFonts w:hint="eastAsia"/>
          <w:b/>
          <w:bCs/>
        </w:rPr>
        <w:t xml:space="preserve">Section 4 </w:t>
      </w:r>
      <w:r>
        <w:rPr>
          <w:rFonts w:hint="eastAsia"/>
          <w:b/>
          <w:bCs/>
        </w:rPr>
        <w:t>—</w:t>
      </w:r>
      <w:r>
        <w:rPr>
          <w:rFonts w:hint="eastAsia"/>
          <w:b/>
          <w:bCs/>
        </w:rPr>
        <w:t xml:space="preserve"> IP Strategy</w:t>
      </w:r>
    </w:p>
    <w:p w14:paraId="2BB590AB" w14:textId="77777777" w:rsidR="00912A48" w:rsidRDefault="00912A48"/>
    <w:p w14:paraId="6900E975" w14:textId="77777777" w:rsidR="00912A48" w:rsidRDefault="00000000">
      <w:r>
        <w:rPr>
          <w:rFonts w:hint="eastAsia"/>
          <w:b/>
          <w:bCs/>
        </w:rPr>
        <w:t>Novelty Analysis</w:t>
      </w:r>
    </w:p>
    <w:p w14:paraId="318AF41A" w14:textId="77777777" w:rsidR="00912A48" w:rsidRDefault="00912A48"/>
    <w:p w14:paraId="5B39940E" w14:textId="77777777" w:rsidR="00912A48" w:rsidRDefault="00000000">
      <w:r>
        <w:rPr>
          <w:rFonts w:hint="eastAsia"/>
        </w:rPr>
        <w:t>The core novelty of the Wander route planner lies in its integration of natural language input, real-time geolocation, and context-aware multi-stop route generation within a single mobile-first application. Unlike traditional route planners that require structured forms (e.g., origin/destination/time fields), Wander allows users to express travel preferences in natural language</w:t>
      </w:r>
      <w:r>
        <w:rPr>
          <w:rFonts w:hint="eastAsia"/>
        </w:rPr>
        <w:t>—</w:t>
      </w:r>
      <w:r>
        <w:rPr>
          <w:rFonts w:hint="eastAsia"/>
        </w:rPr>
        <w:t xml:space="preserve">for example, </w:t>
      </w:r>
      <w:r>
        <w:rPr>
          <w:rFonts w:hint="eastAsia"/>
        </w:rPr>
        <w:t>“</w:t>
      </w:r>
      <w:r>
        <w:rPr>
          <w:rFonts w:hint="eastAsia"/>
        </w:rPr>
        <w:t>A scenic 3-stop walk with coffee + park stops at sunset.</w:t>
      </w:r>
      <w:r>
        <w:rPr>
          <w:rFonts w:hint="eastAsia"/>
        </w:rPr>
        <w:t>”</w:t>
      </w:r>
      <w:r>
        <w:rPr>
          <w:rFonts w:hint="eastAsia"/>
        </w:rPr>
        <w:t xml:space="preserve"> The system then parses this prompt into structured intent, synthesizes live location data if available, and generates multiple curated route options with diverse stop profiles.</w:t>
      </w:r>
    </w:p>
    <w:p w14:paraId="14392256" w14:textId="77777777" w:rsidR="00912A48" w:rsidRDefault="00912A48"/>
    <w:p w14:paraId="5CF98FA3" w14:textId="77777777" w:rsidR="00912A48" w:rsidRDefault="00000000">
      <w:r>
        <w:rPr>
          <w:rFonts w:hint="eastAsia"/>
        </w:rPr>
        <w:t>Comparatively, mainstream map services such as Google Maps or Apple Maps offer multi-stop routing but rely on user-selected waypoints and static category filters. They do not interpret free-form natural language or automatically optimize for thematic experiences (e.g., mood, ambiance). This distinct combination of natural language intent parsing + scenario-based routing + fallback data resilience is what sets Wander apart.</w:t>
      </w:r>
    </w:p>
    <w:p w14:paraId="1A1E616C" w14:textId="77777777" w:rsidR="00912A48" w:rsidRDefault="00912A48"/>
    <w:p w14:paraId="1558BB34" w14:textId="77777777" w:rsidR="00912A48" w:rsidRDefault="00000000">
      <w:pPr>
        <w:pStyle w:val="a3"/>
        <w:widowControl/>
        <w:spacing w:before="240" w:after="80"/>
        <w:jc w:val="left"/>
        <w:textAlignment w:val="baseline"/>
      </w:pPr>
      <w:r>
        <w:rPr>
          <w:rFonts w:ascii="sans-serif" w:eastAsia="Arial" w:hAnsi="sans-serif" w:cs="sans-serif"/>
          <w:b/>
          <w:bCs/>
          <w:color w:val="0F1F2E"/>
          <w:shd w:val="clear" w:color="auto" w:fill="FFFFFF"/>
        </w:rPr>
        <w:t>Prior art (2–3 examples)</w:t>
      </w:r>
      <w:r>
        <w:rPr>
          <w:rFonts w:ascii="sans-serif" w:eastAsia="Arial" w:hAnsi="sans-serif" w:cs="sans-serif"/>
          <w:color w:val="0F1F2E"/>
          <w:shd w:val="clear" w:color="auto" w:fill="FFFFFF"/>
        </w:rPr>
        <w:t> </w:t>
      </w:r>
    </w:p>
    <w:tbl>
      <w:tblPr>
        <w:tblW w:w="4999"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771"/>
        <w:gridCol w:w="2749"/>
        <w:gridCol w:w="2768"/>
      </w:tblGrid>
      <w:tr w:rsidR="00912A48" w14:paraId="3706C231" w14:textId="77777777">
        <w:trPr>
          <w:trHeight w:val="300"/>
        </w:trPr>
        <w:tc>
          <w:tcPr>
            <w:tcW w:w="1671" w:type="pct"/>
            <w:tcBorders>
              <w:top w:val="single" w:sz="6" w:space="0" w:color="000000"/>
              <w:left w:val="single" w:sz="6" w:space="0" w:color="000000"/>
              <w:bottom w:val="single" w:sz="6" w:space="0" w:color="000000"/>
              <w:right w:val="single" w:sz="6" w:space="0" w:color="000000"/>
            </w:tcBorders>
            <w:shd w:val="clear" w:color="auto" w:fill="F2F2F2"/>
          </w:tcPr>
          <w:p w14:paraId="211746E4" w14:textId="77777777" w:rsidR="00912A48" w:rsidRDefault="00000000">
            <w:pPr>
              <w:pStyle w:val="a3"/>
              <w:widowControl/>
              <w:jc w:val="left"/>
              <w:textAlignment w:val="baseline"/>
            </w:pPr>
            <w:r>
              <w:rPr>
                <w:rFonts w:ascii="sans-serif" w:hAnsi="sans-serif" w:cs="sans-serif"/>
                <w:b/>
                <w:bCs/>
                <w:sz w:val="20"/>
                <w:szCs w:val="20"/>
              </w:rPr>
              <w:t>Existing product / patent</w:t>
            </w:r>
            <w:r>
              <w:rPr>
                <w:rFonts w:ascii="sans-serif" w:hAnsi="sans-serif" w:cs="sans-serif"/>
                <w:sz w:val="20"/>
                <w:szCs w:val="20"/>
              </w:rPr>
              <w:t> </w:t>
            </w:r>
          </w:p>
        </w:tc>
        <w:tc>
          <w:tcPr>
            <w:tcW w:w="1658" w:type="pct"/>
            <w:tcBorders>
              <w:top w:val="single" w:sz="6" w:space="0" w:color="000000"/>
              <w:left w:val="single" w:sz="6" w:space="0" w:color="000000"/>
              <w:bottom w:val="single" w:sz="6" w:space="0" w:color="000000"/>
              <w:right w:val="single" w:sz="6" w:space="0" w:color="000000"/>
            </w:tcBorders>
            <w:shd w:val="clear" w:color="auto" w:fill="F2F2F2"/>
          </w:tcPr>
          <w:p w14:paraId="07CCD75A" w14:textId="77777777" w:rsidR="00912A48" w:rsidRDefault="00000000">
            <w:pPr>
              <w:pStyle w:val="a3"/>
              <w:widowControl/>
              <w:jc w:val="left"/>
              <w:textAlignment w:val="baseline"/>
            </w:pPr>
            <w:r>
              <w:rPr>
                <w:rFonts w:ascii="sans-serif" w:hAnsi="sans-serif" w:cs="sans-serif"/>
                <w:b/>
                <w:bCs/>
                <w:sz w:val="20"/>
                <w:szCs w:val="20"/>
              </w:rPr>
              <w:t>What it does</w:t>
            </w:r>
            <w:r>
              <w:rPr>
                <w:rFonts w:ascii="sans-serif" w:hAnsi="sans-serif" w:cs="sans-serif"/>
                <w:sz w:val="20"/>
                <w:szCs w:val="20"/>
              </w:rPr>
              <w:t> </w:t>
            </w:r>
          </w:p>
        </w:tc>
        <w:tc>
          <w:tcPr>
            <w:tcW w:w="1670" w:type="pct"/>
            <w:tcBorders>
              <w:top w:val="single" w:sz="6" w:space="0" w:color="000000"/>
              <w:left w:val="single" w:sz="6" w:space="0" w:color="000000"/>
              <w:bottom w:val="single" w:sz="6" w:space="0" w:color="000000"/>
              <w:right w:val="single" w:sz="6" w:space="0" w:color="000000"/>
            </w:tcBorders>
            <w:shd w:val="clear" w:color="auto" w:fill="F2F2F2"/>
          </w:tcPr>
          <w:p w14:paraId="2ACD1313" w14:textId="77777777" w:rsidR="00912A48" w:rsidRDefault="00000000">
            <w:pPr>
              <w:pStyle w:val="a3"/>
              <w:widowControl/>
              <w:jc w:val="left"/>
              <w:textAlignment w:val="baseline"/>
            </w:pPr>
            <w:r>
              <w:rPr>
                <w:rFonts w:ascii="sans-serif" w:hAnsi="sans-serif" w:cs="sans-serif"/>
                <w:b/>
                <w:bCs/>
                <w:sz w:val="20"/>
                <w:szCs w:val="20"/>
              </w:rPr>
              <w:t>How your solution differs</w:t>
            </w:r>
            <w:r>
              <w:rPr>
                <w:rFonts w:ascii="sans-serif" w:hAnsi="sans-serif" w:cs="sans-serif"/>
                <w:sz w:val="20"/>
                <w:szCs w:val="20"/>
              </w:rPr>
              <w:t> </w:t>
            </w:r>
          </w:p>
        </w:tc>
      </w:tr>
      <w:tr w:rsidR="00912A48" w14:paraId="4FC621F5" w14:textId="77777777">
        <w:trPr>
          <w:trHeight w:val="300"/>
        </w:trPr>
        <w:tc>
          <w:tcPr>
            <w:tcW w:w="1671" w:type="pct"/>
            <w:tcBorders>
              <w:top w:val="single" w:sz="6" w:space="0" w:color="000000"/>
              <w:left w:val="single" w:sz="6" w:space="0" w:color="000000"/>
              <w:bottom w:val="single" w:sz="6" w:space="0" w:color="000000"/>
              <w:right w:val="single" w:sz="6" w:space="0" w:color="000000"/>
            </w:tcBorders>
          </w:tcPr>
          <w:p w14:paraId="717E321D" w14:textId="77777777" w:rsidR="00912A48" w:rsidRDefault="00000000">
            <w:pPr>
              <w:pStyle w:val="a3"/>
              <w:widowControl/>
              <w:jc w:val="left"/>
              <w:textAlignment w:val="baseline"/>
            </w:pPr>
            <w:r>
              <w:rPr>
                <w:rFonts w:ascii="sans-serif" w:hAnsi="sans-serif" w:cs="sans-serif"/>
              </w:rPr>
              <w:t> Google Maps Multi-Stop Routing</w:t>
            </w:r>
          </w:p>
        </w:tc>
        <w:tc>
          <w:tcPr>
            <w:tcW w:w="1658" w:type="pct"/>
            <w:tcBorders>
              <w:top w:val="single" w:sz="6" w:space="0" w:color="000000"/>
              <w:left w:val="single" w:sz="6" w:space="0" w:color="000000"/>
              <w:bottom w:val="single" w:sz="6" w:space="0" w:color="000000"/>
              <w:right w:val="single" w:sz="6" w:space="0" w:color="000000"/>
            </w:tcBorders>
          </w:tcPr>
          <w:p w14:paraId="109C0667" w14:textId="77777777" w:rsidR="00912A48" w:rsidRDefault="00000000">
            <w:pPr>
              <w:pStyle w:val="a3"/>
              <w:widowControl/>
              <w:jc w:val="left"/>
              <w:textAlignment w:val="baseline"/>
            </w:pPr>
            <w:r>
              <w:rPr>
                <w:rFonts w:ascii="sans-serif" w:hAnsi="sans-serif" w:cs="sans-serif"/>
              </w:rPr>
              <w:t> Provides multi-stop directions with manual waypoint input.</w:t>
            </w:r>
          </w:p>
        </w:tc>
        <w:tc>
          <w:tcPr>
            <w:tcW w:w="1670" w:type="pct"/>
            <w:tcBorders>
              <w:top w:val="single" w:sz="6" w:space="0" w:color="000000"/>
              <w:left w:val="single" w:sz="6" w:space="0" w:color="000000"/>
              <w:bottom w:val="single" w:sz="6" w:space="0" w:color="000000"/>
              <w:right w:val="single" w:sz="6" w:space="0" w:color="000000"/>
            </w:tcBorders>
          </w:tcPr>
          <w:p w14:paraId="37D22143" w14:textId="77777777" w:rsidR="00912A48" w:rsidRDefault="00000000">
            <w:pPr>
              <w:pStyle w:val="a3"/>
              <w:widowControl/>
              <w:jc w:val="left"/>
              <w:textAlignment w:val="baseline"/>
            </w:pPr>
            <w:r>
              <w:rPr>
                <w:rFonts w:ascii="sans-serif" w:hAnsi="sans-serif" w:cs="sans-serif"/>
              </w:rPr>
              <w:t> Requires structured user input and does not interpret natural language prompts; no scenario-driven route personality.</w:t>
            </w:r>
          </w:p>
        </w:tc>
      </w:tr>
      <w:tr w:rsidR="00912A48" w14:paraId="708AA010" w14:textId="77777777">
        <w:trPr>
          <w:trHeight w:val="300"/>
        </w:trPr>
        <w:tc>
          <w:tcPr>
            <w:tcW w:w="1671" w:type="pct"/>
            <w:tcBorders>
              <w:top w:val="single" w:sz="6" w:space="0" w:color="000000"/>
              <w:left w:val="single" w:sz="6" w:space="0" w:color="000000"/>
              <w:bottom w:val="single" w:sz="6" w:space="0" w:color="000000"/>
              <w:right w:val="single" w:sz="6" w:space="0" w:color="000000"/>
            </w:tcBorders>
          </w:tcPr>
          <w:p w14:paraId="6D1CAC47" w14:textId="77777777" w:rsidR="00912A48" w:rsidRDefault="00000000">
            <w:pPr>
              <w:pStyle w:val="a3"/>
              <w:widowControl/>
              <w:jc w:val="left"/>
              <w:textAlignment w:val="baseline"/>
            </w:pPr>
            <w:r>
              <w:rPr>
                <w:rFonts w:ascii="sans-serif" w:hAnsi="sans-serif" w:cs="sans-serif"/>
              </w:rPr>
              <w:t> Rome2rio Route Search</w:t>
            </w:r>
          </w:p>
        </w:tc>
        <w:tc>
          <w:tcPr>
            <w:tcW w:w="1658" w:type="pct"/>
            <w:tcBorders>
              <w:top w:val="single" w:sz="6" w:space="0" w:color="000000"/>
              <w:left w:val="single" w:sz="6" w:space="0" w:color="000000"/>
              <w:bottom w:val="single" w:sz="6" w:space="0" w:color="000000"/>
              <w:right w:val="single" w:sz="6" w:space="0" w:color="000000"/>
            </w:tcBorders>
          </w:tcPr>
          <w:p w14:paraId="61ABABBC" w14:textId="77777777" w:rsidR="00912A48" w:rsidRDefault="00000000">
            <w:pPr>
              <w:pStyle w:val="a3"/>
              <w:widowControl/>
              <w:jc w:val="left"/>
              <w:textAlignment w:val="baseline"/>
            </w:pPr>
            <w:r>
              <w:rPr>
                <w:rFonts w:ascii="sans-serif" w:hAnsi="sans-serif" w:cs="sans-serif"/>
              </w:rPr>
              <w:t> Finds transport options between locations worldwide.</w:t>
            </w:r>
          </w:p>
        </w:tc>
        <w:tc>
          <w:tcPr>
            <w:tcW w:w="1670" w:type="pct"/>
            <w:tcBorders>
              <w:top w:val="single" w:sz="6" w:space="0" w:color="000000"/>
              <w:left w:val="single" w:sz="6" w:space="0" w:color="000000"/>
              <w:bottom w:val="single" w:sz="6" w:space="0" w:color="000000"/>
              <w:right w:val="single" w:sz="6" w:space="0" w:color="000000"/>
            </w:tcBorders>
          </w:tcPr>
          <w:p w14:paraId="08BEE4D9" w14:textId="77777777" w:rsidR="00912A48" w:rsidRDefault="00000000">
            <w:pPr>
              <w:pStyle w:val="a3"/>
              <w:widowControl/>
              <w:jc w:val="left"/>
              <w:textAlignment w:val="baseline"/>
            </w:pPr>
            <w:r>
              <w:rPr>
                <w:rFonts w:ascii="sans-serif" w:hAnsi="sans-serif" w:cs="sans-serif"/>
              </w:rPr>
              <w:t> Focuses on transport combinations, not curated multi-stop local experiences from natural language queries.</w:t>
            </w:r>
          </w:p>
        </w:tc>
      </w:tr>
      <w:tr w:rsidR="00912A48" w14:paraId="74954ED3" w14:textId="77777777">
        <w:trPr>
          <w:trHeight w:val="300"/>
        </w:trPr>
        <w:tc>
          <w:tcPr>
            <w:tcW w:w="1671" w:type="pct"/>
            <w:tcBorders>
              <w:top w:val="single" w:sz="6" w:space="0" w:color="000000"/>
              <w:left w:val="single" w:sz="6" w:space="0" w:color="000000"/>
              <w:bottom w:val="single" w:sz="6" w:space="0" w:color="000000"/>
              <w:right w:val="single" w:sz="6" w:space="0" w:color="000000"/>
            </w:tcBorders>
          </w:tcPr>
          <w:p w14:paraId="5F6906E7" w14:textId="77777777" w:rsidR="00912A48" w:rsidRDefault="00000000">
            <w:pPr>
              <w:pStyle w:val="a3"/>
              <w:widowControl/>
              <w:jc w:val="left"/>
              <w:textAlignment w:val="baseline"/>
            </w:pPr>
            <w:r>
              <w:rPr>
                <w:rFonts w:ascii="sans-serif" w:hAnsi="sans-serif" w:cs="sans-serif"/>
              </w:rPr>
              <w:t> Patent US20190382721A1 (Travel Planner)</w:t>
            </w:r>
          </w:p>
        </w:tc>
        <w:tc>
          <w:tcPr>
            <w:tcW w:w="1658" w:type="pct"/>
            <w:tcBorders>
              <w:top w:val="single" w:sz="6" w:space="0" w:color="000000"/>
              <w:left w:val="single" w:sz="6" w:space="0" w:color="000000"/>
              <w:bottom w:val="single" w:sz="6" w:space="0" w:color="000000"/>
              <w:right w:val="single" w:sz="6" w:space="0" w:color="000000"/>
            </w:tcBorders>
          </w:tcPr>
          <w:p w14:paraId="656C53E7" w14:textId="77777777" w:rsidR="00912A48" w:rsidRDefault="00000000">
            <w:pPr>
              <w:pStyle w:val="a3"/>
              <w:widowControl/>
              <w:jc w:val="left"/>
              <w:textAlignment w:val="baseline"/>
            </w:pPr>
            <w:r>
              <w:rPr>
                <w:rFonts w:ascii="sans-serif" w:hAnsi="sans-serif" w:cs="sans-serif"/>
              </w:rPr>
              <w:t> Describes methods for generating travel itineraries based on user preferences.</w:t>
            </w:r>
          </w:p>
        </w:tc>
        <w:tc>
          <w:tcPr>
            <w:tcW w:w="1670" w:type="pct"/>
            <w:tcBorders>
              <w:top w:val="single" w:sz="6" w:space="0" w:color="000000"/>
              <w:left w:val="single" w:sz="6" w:space="0" w:color="000000"/>
              <w:bottom w:val="single" w:sz="6" w:space="0" w:color="000000"/>
              <w:right w:val="single" w:sz="6" w:space="0" w:color="000000"/>
            </w:tcBorders>
          </w:tcPr>
          <w:p w14:paraId="47B112A5" w14:textId="77777777" w:rsidR="00912A48" w:rsidRDefault="00000000">
            <w:pPr>
              <w:pStyle w:val="a3"/>
              <w:widowControl/>
              <w:jc w:val="left"/>
              <w:textAlignment w:val="baseline"/>
            </w:pPr>
            <w:r>
              <w:rPr>
                <w:rFonts w:ascii="sans-serif" w:hAnsi="sans-serif" w:cs="sans-serif"/>
              </w:rPr>
              <w:t> Generic itinerary generation; lacks real-time geolocation interplay and mobile-first natural language parsing tailored for user mood/time context.</w:t>
            </w:r>
          </w:p>
        </w:tc>
      </w:tr>
    </w:tbl>
    <w:p w14:paraId="3B79335B" w14:textId="77777777" w:rsidR="00912A48" w:rsidRDefault="00000000">
      <w:pPr>
        <w:pStyle w:val="a3"/>
        <w:widowControl/>
        <w:spacing w:before="240" w:after="80"/>
        <w:jc w:val="left"/>
        <w:textAlignment w:val="baseline"/>
      </w:pPr>
      <w:r>
        <w:rPr>
          <w:rFonts w:ascii="sans-serif" w:eastAsia="Arial" w:hAnsi="sans-serif" w:cs="sans-serif"/>
          <w:b/>
          <w:bCs/>
          <w:color w:val="0F1F2E"/>
          <w:shd w:val="clear" w:color="auto" w:fill="FFFFFF"/>
        </w:rPr>
        <w:t>Patent decision</w:t>
      </w:r>
      <w:r>
        <w:rPr>
          <w:rFonts w:ascii="sans-serif" w:eastAsia="Arial" w:hAnsi="sans-serif" w:cs="sans-serif"/>
          <w:color w:val="0F1F2E"/>
          <w:shd w:val="clear" w:color="auto" w:fill="FFFFFF"/>
        </w:rPr>
        <w:t> </w:t>
      </w:r>
    </w:p>
    <w:p w14:paraId="29CF56F1" w14:textId="77777777" w:rsidR="00912A48" w:rsidRDefault="00912A48"/>
    <w:p w14:paraId="1861F3CA" w14:textId="77777777" w:rsidR="00912A48" w:rsidRDefault="00000000">
      <w:r>
        <w:rPr>
          <w:rFonts w:hint="eastAsia"/>
        </w:rPr>
        <w:t>N</w:t>
      </w:r>
      <w:r>
        <w:rPr>
          <w:rFonts w:hint="eastAsia"/>
          <w:lang w:eastAsia="zh"/>
        </w:rPr>
        <w:t>o,</w:t>
      </w:r>
      <w:r>
        <w:rPr>
          <w:rFonts w:hint="eastAsia"/>
        </w:rPr>
        <w:t xml:space="preserve"> we would not pursue patenting at this development stage.</w:t>
      </w:r>
    </w:p>
    <w:p w14:paraId="501B7698" w14:textId="77777777" w:rsidR="00912A48" w:rsidRDefault="00000000">
      <w:r>
        <w:rPr>
          <w:rFonts w:hint="eastAsia"/>
        </w:rPr>
        <w:t>While Wander</w:t>
      </w:r>
      <w:r>
        <w:rPr>
          <w:rFonts w:hint="eastAsia"/>
        </w:rPr>
        <w:t>’</w:t>
      </w:r>
      <w:r>
        <w:rPr>
          <w:rFonts w:hint="eastAsia"/>
        </w:rPr>
        <w:t xml:space="preserve">s combination of features shows innovative product-level integration, the underlying techniques (natural language parsing, geolocation data, route optimization) are well-established individually. Filing a patent would be costly and time-consuming, with uncertain </w:t>
      </w:r>
      <w:r>
        <w:rPr>
          <w:rFonts w:hint="eastAsia"/>
        </w:rPr>
        <w:lastRenderedPageBreak/>
        <w:t>enforceability given existing mapping and itinerary patents. A more strategic investment at this stage is product refinement and user base growth rather than an early patent filing.</w:t>
      </w:r>
    </w:p>
    <w:p w14:paraId="2F749A63" w14:textId="77777777" w:rsidR="00912A48" w:rsidRDefault="00912A48"/>
    <w:p w14:paraId="5767CE5D" w14:textId="77777777" w:rsidR="00912A48" w:rsidRDefault="00000000">
      <w:pPr>
        <w:rPr>
          <w:b/>
          <w:bCs/>
        </w:rPr>
      </w:pPr>
      <w:r>
        <w:rPr>
          <w:rFonts w:hint="eastAsia"/>
          <w:b/>
          <w:bCs/>
        </w:rPr>
        <w:t>Alternative Protection</w:t>
      </w:r>
    </w:p>
    <w:p w14:paraId="7777FF1E" w14:textId="77777777" w:rsidR="00912A48" w:rsidRDefault="00912A48"/>
    <w:p w14:paraId="3C90B6C7" w14:textId="77777777" w:rsidR="00912A48" w:rsidRDefault="00000000">
      <w:r>
        <w:rPr>
          <w:rFonts w:hint="eastAsia"/>
        </w:rPr>
        <w:t>Since patenting is not recommended currently, the team can leverage the following alternative strategies:</w:t>
      </w:r>
    </w:p>
    <w:p w14:paraId="51F7FCA3" w14:textId="77777777" w:rsidR="00912A48" w:rsidRDefault="00912A48"/>
    <w:p w14:paraId="7BC9EA72" w14:textId="77777777" w:rsidR="00912A48" w:rsidRDefault="00000000">
      <w:r>
        <w:rPr>
          <w:rFonts w:hint="eastAsia"/>
        </w:rPr>
        <w:t>1. Trade Secrets: Protect proprietary route scoring algorithms and curated dataset enhancements by keeping them internal and not publicly documented.</w:t>
      </w:r>
    </w:p>
    <w:p w14:paraId="5FE08784" w14:textId="77777777" w:rsidR="00912A48" w:rsidRDefault="00000000">
      <w:r>
        <w:rPr>
          <w:rFonts w:hint="eastAsia"/>
        </w:rPr>
        <w:t>2. First-Mover Advantage: Launch early with a strong minimum viable product (MVP) to build user adoption and brand recognition before competitors replicate similar UX patterns.</w:t>
      </w:r>
    </w:p>
    <w:p w14:paraId="0F70E324" w14:textId="77777777" w:rsidR="00912A48" w:rsidRDefault="00000000">
      <w:r>
        <w:rPr>
          <w:rFonts w:hint="eastAsia"/>
        </w:rPr>
        <w:t>3. Network Effects: Incentivize user-generated route content (e.g., shared routes, reviews), which over time becomes harder for competitors to replicate.</w:t>
      </w:r>
    </w:p>
    <w:p w14:paraId="0282D602" w14:textId="77777777" w:rsidR="00912A48" w:rsidRDefault="00912A48"/>
    <w:p w14:paraId="7712D999" w14:textId="77777777" w:rsidR="00912A48" w:rsidRDefault="00912A48"/>
    <w:p w14:paraId="0CA0F8D5" w14:textId="77777777" w:rsidR="00912A48" w:rsidRDefault="00000000">
      <w:pPr>
        <w:rPr>
          <w:b/>
          <w:bCs/>
        </w:rPr>
      </w:pPr>
      <w:r>
        <w:rPr>
          <w:rFonts w:hint="eastAsia"/>
          <w:b/>
          <w:bCs/>
        </w:rPr>
        <w:t xml:space="preserve">Section 5 </w:t>
      </w:r>
      <w:r>
        <w:rPr>
          <w:rFonts w:hint="eastAsia"/>
          <w:b/>
          <w:bCs/>
        </w:rPr>
        <w:t>—</w:t>
      </w:r>
      <w:r>
        <w:rPr>
          <w:rFonts w:hint="eastAsia"/>
          <w:b/>
          <w:bCs/>
        </w:rPr>
        <w:t xml:space="preserve"> Limitations &amp; Future Work</w:t>
      </w:r>
    </w:p>
    <w:p w14:paraId="2E6CCEEB" w14:textId="77777777" w:rsidR="00912A48" w:rsidRDefault="00912A48"/>
    <w:p w14:paraId="50A4DB08" w14:textId="77777777" w:rsidR="00912A48" w:rsidRDefault="00000000">
      <w:pPr>
        <w:rPr>
          <w:b/>
          <w:bCs/>
        </w:rPr>
      </w:pPr>
      <w:r>
        <w:rPr>
          <w:rFonts w:hint="eastAsia"/>
          <w:b/>
          <w:bCs/>
        </w:rPr>
        <w:t>Known Limitations</w:t>
      </w:r>
    </w:p>
    <w:tbl>
      <w:tblPr>
        <w:tblW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1364"/>
        <w:gridCol w:w="1949"/>
        <w:gridCol w:w="1364"/>
      </w:tblGrid>
      <w:tr w:rsidR="00912A48" w14:paraId="3BF768B8" w14:textId="77777777">
        <w:trPr>
          <w:trHeight w:val="300"/>
        </w:trPr>
        <w:tc>
          <w:tcPr>
            <w:tcW w:w="3000" w:type="dxa"/>
            <w:tcBorders>
              <w:top w:val="single" w:sz="4" w:space="0" w:color="000000"/>
              <w:left w:val="single" w:sz="4" w:space="0" w:color="000000"/>
              <w:bottom w:val="single" w:sz="4" w:space="0" w:color="000000"/>
              <w:right w:val="single" w:sz="4" w:space="0" w:color="000000"/>
            </w:tcBorders>
            <w:shd w:val="clear" w:color="auto" w:fill="F2F2F2"/>
          </w:tcPr>
          <w:p w14:paraId="455E6416" w14:textId="77777777" w:rsidR="00912A48" w:rsidRDefault="00000000">
            <w:pPr>
              <w:pStyle w:val="a3"/>
              <w:widowControl/>
              <w:jc w:val="left"/>
              <w:textAlignment w:val="baseline"/>
            </w:pPr>
            <w:r>
              <w:rPr>
                <w:rFonts w:ascii="sans-serif" w:hAnsi="sans-serif" w:cs="sans-serif"/>
                <w:b/>
                <w:bCs/>
                <w:sz w:val="20"/>
                <w:szCs w:val="20"/>
              </w:rPr>
              <w:t>Limitation</w:t>
            </w:r>
            <w:r>
              <w:rPr>
                <w:rFonts w:ascii="sans-serif" w:hAnsi="sans-serif" w:cs="sans-serif"/>
                <w:sz w:val="20"/>
                <w:szCs w:val="20"/>
              </w:rPr>
              <w:t> </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Pr>
          <w:p w14:paraId="0EA9DF87" w14:textId="77777777" w:rsidR="00912A48" w:rsidRDefault="00000000">
            <w:pPr>
              <w:pStyle w:val="a3"/>
              <w:widowControl/>
              <w:jc w:val="left"/>
              <w:textAlignment w:val="baseline"/>
            </w:pPr>
            <w:r>
              <w:rPr>
                <w:rFonts w:ascii="sans-serif" w:hAnsi="sans-serif" w:cs="sans-serif"/>
                <w:b/>
                <w:bCs/>
                <w:sz w:val="20"/>
                <w:szCs w:val="20"/>
              </w:rPr>
              <w:t>Why it exists</w:t>
            </w:r>
            <w:r>
              <w:rPr>
                <w:rFonts w:ascii="sans-serif" w:hAnsi="sans-serif" w:cs="sans-serif"/>
                <w:sz w:val="20"/>
                <w:szCs w:val="20"/>
              </w:rPr>
              <w:t> </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Pr>
          <w:p w14:paraId="049EDACD" w14:textId="77777777" w:rsidR="00912A48" w:rsidRDefault="00000000">
            <w:pPr>
              <w:pStyle w:val="a3"/>
              <w:widowControl/>
              <w:jc w:val="left"/>
              <w:textAlignment w:val="baseline"/>
            </w:pPr>
            <w:r>
              <w:rPr>
                <w:rFonts w:ascii="sans-serif" w:hAnsi="sans-serif" w:cs="sans-serif"/>
                <w:b/>
                <w:bCs/>
                <w:sz w:val="20"/>
                <w:szCs w:val="20"/>
              </w:rPr>
              <w:t>Impact on users</w:t>
            </w:r>
            <w:r>
              <w:rPr>
                <w:rFonts w:ascii="sans-serif" w:hAnsi="sans-serif" w:cs="sans-serif"/>
                <w:sz w:val="20"/>
                <w:szCs w:val="20"/>
              </w:rPr>
              <w:t> </w:t>
            </w:r>
          </w:p>
        </w:tc>
      </w:tr>
      <w:tr w:rsidR="00912A48" w14:paraId="2F11129F" w14:textId="77777777">
        <w:trPr>
          <w:trHeight w:val="300"/>
        </w:trPr>
        <w:tc>
          <w:tcPr>
            <w:tcW w:w="3000" w:type="dxa"/>
            <w:tcBorders>
              <w:top w:val="single" w:sz="4" w:space="0" w:color="000000"/>
              <w:left w:val="single" w:sz="4" w:space="0" w:color="000000"/>
              <w:bottom w:val="single" w:sz="4" w:space="0" w:color="000000"/>
              <w:right w:val="single" w:sz="4" w:space="0" w:color="000000"/>
            </w:tcBorders>
          </w:tcPr>
          <w:p w14:paraId="2C8A589F" w14:textId="77777777" w:rsidR="00912A48" w:rsidRDefault="00000000">
            <w:pPr>
              <w:pStyle w:val="a3"/>
              <w:widowControl/>
              <w:jc w:val="left"/>
              <w:textAlignment w:val="baseline"/>
            </w:pPr>
            <w:r>
              <w:rPr>
                <w:rFonts w:ascii="sans-serif" w:hAnsi="sans-serif" w:cs="sans-serif"/>
              </w:rPr>
              <w:t> Limited accuracy of fallback venue data</w:t>
            </w:r>
          </w:p>
        </w:tc>
        <w:tc>
          <w:tcPr>
            <w:tcW w:w="3000" w:type="dxa"/>
            <w:tcBorders>
              <w:top w:val="single" w:sz="4" w:space="0" w:color="000000"/>
              <w:left w:val="single" w:sz="4" w:space="0" w:color="000000"/>
              <w:bottom w:val="single" w:sz="4" w:space="0" w:color="000000"/>
              <w:right w:val="single" w:sz="4" w:space="0" w:color="000000"/>
            </w:tcBorders>
          </w:tcPr>
          <w:p w14:paraId="3C971A02" w14:textId="77777777" w:rsidR="00912A48" w:rsidRDefault="00000000">
            <w:pPr>
              <w:pStyle w:val="a3"/>
              <w:widowControl/>
              <w:jc w:val="left"/>
              <w:textAlignment w:val="baseline"/>
            </w:pPr>
            <w:r>
              <w:rPr>
                <w:rFonts w:ascii="sans-serif" w:hAnsi="sans-serif" w:cs="sans-serif"/>
              </w:rPr>
              <w:t> Fallback dataset is static and curated manually; live API integration yields richer, up-to-date places.</w:t>
            </w:r>
          </w:p>
        </w:tc>
        <w:tc>
          <w:tcPr>
            <w:tcW w:w="3000" w:type="dxa"/>
            <w:tcBorders>
              <w:top w:val="single" w:sz="4" w:space="0" w:color="000000"/>
              <w:left w:val="single" w:sz="4" w:space="0" w:color="000000"/>
              <w:bottom w:val="single" w:sz="4" w:space="0" w:color="000000"/>
              <w:right w:val="single" w:sz="4" w:space="0" w:color="000000"/>
            </w:tcBorders>
          </w:tcPr>
          <w:p w14:paraId="16B7CBEA" w14:textId="77777777" w:rsidR="00912A48" w:rsidRDefault="00000000">
            <w:pPr>
              <w:pStyle w:val="a3"/>
              <w:widowControl/>
              <w:jc w:val="left"/>
              <w:textAlignment w:val="baseline"/>
            </w:pPr>
            <w:r>
              <w:rPr>
                <w:rFonts w:ascii="sans-serif" w:hAnsi="sans-serif" w:cs="sans-serif"/>
              </w:rPr>
              <w:t> Users may see less relevant or outdated venue options when live data is unavailable.</w:t>
            </w:r>
          </w:p>
        </w:tc>
      </w:tr>
      <w:tr w:rsidR="00912A48" w14:paraId="3342AD42" w14:textId="77777777">
        <w:trPr>
          <w:trHeight w:val="300"/>
        </w:trPr>
        <w:tc>
          <w:tcPr>
            <w:tcW w:w="3000" w:type="dxa"/>
            <w:tcBorders>
              <w:top w:val="single" w:sz="4" w:space="0" w:color="000000"/>
              <w:left w:val="single" w:sz="4" w:space="0" w:color="000000"/>
              <w:bottom w:val="single" w:sz="4" w:space="0" w:color="000000"/>
              <w:right w:val="single" w:sz="4" w:space="0" w:color="000000"/>
            </w:tcBorders>
          </w:tcPr>
          <w:p w14:paraId="696600B7" w14:textId="77777777" w:rsidR="00912A48" w:rsidRDefault="00000000">
            <w:pPr>
              <w:pStyle w:val="a3"/>
              <w:widowControl/>
              <w:jc w:val="left"/>
              <w:textAlignment w:val="baseline"/>
            </w:pPr>
            <w:r>
              <w:rPr>
                <w:rFonts w:ascii="sans-serif" w:hAnsi="sans-serif" w:cs="sans-serif"/>
              </w:rPr>
              <w:t> Natural language parsing ambiguity</w:t>
            </w:r>
          </w:p>
        </w:tc>
        <w:tc>
          <w:tcPr>
            <w:tcW w:w="3000" w:type="dxa"/>
            <w:tcBorders>
              <w:top w:val="single" w:sz="4" w:space="0" w:color="000000"/>
              <w:left w:val="single" w:sz="4" w:space="0" w:color="000000"/>
              <w:bottom w:val="single" w:sz="4" w:space="0" w:color="000000"/>
              <w:right w:val="single" w:sz="4" w:space="0" w:color="000000"/>
            </w:tcBorders>
          </w:tcPr>
          <w:p w14:paraId="3E3B45C4" w14:textId="77777777" w:rsidR="00912A48" w:rsidRDefault="00000000">
            <w:pPr>
              <w:pStyle w:val="a3"/>
              <w:widowControl/>
              <w:jc w:val="left"/>
              <w:textAlignment w:val="baseline"/>
            </w:pPr>
            <w:r>
              <w:rPr>
                <w:rFonts w:ascii="sans-serif" w:hAnsi="sans-serif" w:cs="sans-serif"/>
              </w:rPr>
              <w:t> Parsing free-form text requires robust NLP models; edge cases can misinterpret user intent.</w:t>
            </w:r>
          </w:p>
        </w:tc>
        <w:tc>
          <w:tcPr>
            <w:tcW w:w="3000" w:type="dxa"/>
            <w:tcBorders>
              <w:top w:val="single" w:sz="4" w:space="0" w:color="000000"/>
              <w:left w:val="single" w:sz="4" w:space="0" w:color="000000"/>
              <w:bottom w:val="single" w:sz="4" w:space="0" w:color="000000"/>
              <w:right w:val="single" w:sz="4" w:space="0" w:color="000000"/>
            </w:tcBorders>
          </w:tcPr>
          <w:p w14:paraId="0C7BDDB4" w14:textId="77777777" w:rsidR="00912A48" w:rsidRDefault="00000000">
            <w:pPr>
              <w:pStyle w:val="a3"/>
              <w:widowControl/>
              <w:jc w:val="left"/>
              <w:textAlignment w:val="baseline"/>
            </w:pPr>
            <w:r>
              <w:rPr>
                <w:rFonts w:ascii="sans-serif" w:hAnsi="sans-serif" w:cs="sans-serif"/>
              </w:rPr>
              <w:t> Some user prompts may generate routes that don’t align with actual preferences.</w:t>
            </w:r>
          </w:p>
        </w:tc>
      </w:tr>
      <w:tr w:rsidR="00912A48" w14:paraId="443435A9" w14:textId="77777777">
        <w:trPr>
          <w:trHeight w:val="300"/>
        </w:trPr>
        <w:tc>
          <w:tcPr>
            <w:tcW w:w="3000" w:type="dxa"/>
            <w:tcBorders>
              <w:top w:val="single" w:sz="4" w:space="0" w:color="000000"/>
              <w:left w:val="single" w:sz="4" w:space="0" w:color="000000"/>
              <w:bottom w:val="single" w:sz="4" w:space="0" w:color="000000"/>
              <w:right w:val="single" w:sz="4" w:space="0" w:color="000000"/>
            </w:tcBorders>
          </w:tcPr>
          <w:p w14:paraId="765E3CB8" w14:textId="77777777" w:rsidR="00912A48" w:rsidRDefault="00000000">
            <w:pPr>
              <w:pStyle w:val="a3"/>
              <w:widowControl/>
              <w:jc w:val="left"/>
              <w:textAlignment w:val="baseline"/>
            </w:pPr>
            <w:r>
              <w:rPr>
                <w:rFonts w:ascii="sans-serif" w:hAnsi="sans-serif" w:cs="sans-serif"/>
              </w:rPr>
              <w:t> API cost and coverage constraints</w:t>
            </w:r>
          </w:p>
        </w:tc>
        <w:tc>
          <w:tcPr>
            <w:tcW w:w="3000" w:type="dxa"/>
            <w:tcBorders>
              <w:top w:val="single" w:sz="4" w:space="0" w:color="000000"/>
              <w:left w:val="single" w:sz="4" w:space="0" w:color="000000"/>
              <w:bottom w:val="single" w:sz="4" w:space="0" w:color="000000"/>
              <w:right w:val="single" w:sz="4" w:space="0" w:color="000000"/>
            </w:tcBorders>
          </w:tcPr>
          <w:p w14:paraId="0DC3AED7" w14:textId="77777777" w:rsidR="00912A48" w:rsidRDefault="00000000">
            <w:pPr>
              <w:pStyle w:val="a3"/>
              <w:widowControl/>
              <w:jc w:val="left"/>
              <w:textAlignment w:val="baseline"/>
            </w:pPr>
            <w:r>
              <w:rPr>
                <w:rFonts w:ascii="sans-serif" w:hAnsi="sans-serif" w:cs="sans-serif"/>
              </w:rPr>
              <w:t> External geolocation/routing APIs have usage limits or costs, limiting scalability early.</w:t>
            </w:r>
          </w:p>
        </w:tc>
        <w:tc>
          <w:tcPr>
            <w:tcW w:w="3000" w:type="dxa"/>
            <w:tcBorders>
              <w:top w:val="single" w:sz="4" w:space="0" w:color="000000"/>
              <w:left w:val="single" w:sz="4" w:space="0" w:color="000000"/>
              <w:bottom w:val="single" w:sz="4" w:space="0" w:color="000000"/>
              <w:right w:val="single" w:sz="4" w:space="0" w:color="000000"/>
            </w:tcBorders>
          </w:tcPr>
          <w:p w14:paraId="0F575F27" w14:textId="77777777" w:rsidR="00912A48" w:rsidRDefault="00000000">
            <w:pPr>
              <w:pStyle w:val="a3"/>
              <w:widowControl/>
              <w:jc w:val="left"/>
              <w:textAlignment w:val="baseline"/>
            </w:pPr>
            <w:r>
              <w:rPr>
                <w:rFonts w:ascii="sans-serif" w:hAnsi="sans-serif" w:cs="sans-serif"/>
              </w:rPr>
              <w:t> Frequent users or heavy route generation may hit API limits or incur delays.</w:t>
            </w:r>
          </w:p>
        </w:tc>
      </w:tr>
      <w:tr w:rsidR="00912A48" w14:paraId="0D44E1D8" w14:textId="77777777">
        <w:trPr>
          <w:trHeight w:val="300"/>
        </w:trPr>
        <w:tc>
          <w:tcPr>
            <w:tcW w:w="3000" w:type="dxa"/>
            <w:tcBorders>
              <w:top w:val="single" w:sz="4" w:space="0" w:color="000000"/>
              <w:left w:val="single" w:sz="4" w:space="0" w:color="000000"/>
              <w:bottom w:val="single" w:sz="4" w:space="0" w:color="000000"/>
              <w:right w:val="single" w:sz="4" w:space="0" w:color="000000"/>
            </w:tcBorders>
          </w:tcPr>
          <w:p w14:paraId="7666C509" w14:textId="77777777" w:rsidR="00912A48" w:rsidRDefault="00000000">
            <w:pPr>
              <w:pStyle w:val="a3"/>
              <w:widowControl/>
              <w:jc w:val="left"/>
              <w:textAlignment w:val="baseline"/>
            </w:pPr>
            <w:r>
              <w:rPr>
                <w:rFonts w:ascii="sans-serif" w:hAnsi="sans-serif" w:cs="sans-serif"/>
              </w:rPr>
              <w:t xml:space="preserve"> The </w:t>
            </w:r>
            <w:r>
              <w:rPr>
                <w:rFonts w:ascii="sans-serif" w:hAnsi="sans-serif" w:cs="sans-serif"/>
              </w:rPr>
              <w:lastRenderedPageBreak/>
              <w:t>API-integrated natural language parsing model is subject to network-induced latency and unpredictable extended processing durations during runtime.</w:t>
            </w:r>
          </w:p>
        </w:tc>
        <w:tc>
          <w:tcPr>
            <w:tcW w:w="3000" w:type="dxa"/>
            <w:tcBorders>
              <w:top w:val="single" w:sz="4" w:space="0" w:color="000000"/>
              <w:left w:val="single" w:sz="4" w:space="0" w:color="000000"/>
              <w:bottom w:val="single" w:sz="4" w:space="0" w:color="000000"/>
              <w:right w:val="single" w:sz="4" w:space="0" w:color="000000"/>
            </w:tcBorders>
          </w:tcPr>
          <w:p w14:paraId="49B36715" w14:textId="77777777" w:rsidR="00912A48" w:rsidRDefault="00000000">
            <w:pPr>
              <w:pStyle w:val="a3"/>
              <w:widowControl/>
              <w:jc w:val="left"/>
              <w:textAlignment w:val="baseline"/>
            </w:pPr>
            <w:r>
              <w:rPr>
                <w:rFonts w:ascii="sans-serif" w:hAnsi="sans-serif" w:cs="sans-serif"/>
              </w:rPr>
              <w:lastRenderedPageBreak/>
              <w:t xml:space="preserve"> The model relies </w:t>
            </w:r>
            <w:r>
              <w:rPr>
                <w:rFonts w:ascii="sans-serif" w:hAnsi="sans-serif" w:cs="sans-serif"/>
              </w:rPr>
              <w:lastRenderedPageBreak/>
              <w:t>on remote third-party API access rather than local deployment, so its performance is directly bound to network stability. Network fluctuations, API server load, and cross-network transmission overhead all introduce latency and extend processing time.</w:t>
            </w:r>
          </w:p>
        </w:tc>
        <w:tc>
          <w:tcPr>
            <w:tcW w:w="3000" w:type="dxa"/>
            <w:tcBorders>
              <w:top w:val="single" w:sz="4" w:space="0" w:color="000000"/>
              <w:left w:val="single" w:sz="4" w:space="0" w:color="000000"/>
              <w:bottom w:val="single" w:sz="4" w:space="0" w:color="000000"/>
              <w:right w:val="single" w:sz="4" w:space="0" w:color="000000"/>
            </w:tcBorders>
          </w:tcPr>
          <w:p w14:paraId="3E8D5DD5" w14:textId="77777777" w:rsidR="00912A48" w:rsidRDefault="00000000">
            <w:pPr>
              <w:pStyle w:val="a3"/>
              <w:widowControl/>
              <w:jc w:val="left"/>
              <w:textAlignment w:val="baseline"/>
            </w:pPr>
            <w:r>
              <w:rPr>
                <w:rFonts w:ascii="sans-serif" w:hAnsi="sans-serif" w:cs="sans-serif"/>
              </w:rPr>
              <w:lastRenderedPageBreak/>
              <w:t xml:space="preserve"> Users face </w:t>
            </w:r>
            <w:r>
              <w:rPr>
                <w:rFonts w:ascii="sans-serif" w:hAnsi="sans-serif" w:cs="sans-serif"/>
              </w:rPr>
              <w:lastRenderedPageBreak/>
              <w:t>longer wait times for route generation, which disrupts the app’s smooth continuous workflow. Unstable networks (especially common in outdoor mobile scenarios) may cause request timeouts and core function failures, while unpredictable latency degrades the overall user experience.</w:t>
            </w:r>
          </w:p>
        </w:tc>
      </w:tr>
    </w:tbl>
    <w:p w14:paraId="76CE8412" w14:textId="77777777" w:rsidR="00912A48" w:rsidRDefault="00912A48"/>
    <w:p w14:paraId="3164637A" w14:textId="77777777" w:rsidR="00912A48" w:rsidRDefault="00000000">
      <w:pPr>
        <w:rPr>
          <w:b/>
          <w:bCs/>
        </w:rPr>
      </w:pPr>
      <w:r>
        <w:rPr>
          <w:rFonts w:hint="eastAsia"/>
          <w:b/>
          <w:bCs/>
        </w:rPr>
        <w:t>Future Work</w:t>
      </w:r>
    </w:p>
    <w:p w14:paraId="43EF1B8B" w14:textId="77777777" w:rsidR="00912A48" w:rsidRDefault="00912A48">
      <w:pPr>
        <w:rPr>
          <w:b/>
          <w:bCs/>
          <w:lang w:eastAsia="zh"/>
        </w:rPr>
      </w:pPr>
    </w:p>
    <w:p w14:paraId="347B49F2" w14:textId="77777777" w:rsidR="00912A48" w:rsidRDefault="00000000">
      <w:pPr>
        <w:rPr>
          <w:b/>
          <w:bCs/>
        </w:rPr>
      </w:pPr>
      <w:r>
        <w:rPr>
          <w:rFonts w:hint="eastAsia"/>
          <w:b/>
          <w:bCs/>
        </w:rPr>
        <w:t>Feature Improvements</w:t>
      </w:r>
    </w:p>
    <w:p w14:paraId="5C15FEFB" w14:textId="77777777" w:rsidR="00912A48" w:rsidRDefault="00912A48"/>
    <w:p w14:paraId="4A74CC78" w14:textId="77777777" w:rsidR="00912A48" w:rsidRDefault="00000000">
      <w:pPr>
        <w:numPr>
          <w:ilvl w:val="0"/>
          <w:numId w:val="1"/>
        </w:numPr>
      </w:pPr>
      <w:r>
        <w:rPr>
          <w:rFonts w:hint="eastAsia"/>
        </w:rPr>
        <w:t>Enhanced NLP processing</w:t>
      </w:r>
      <w:r>
        <w:rPr>
          <w:rFonts w:hint="eastAsia"/>
          <w:lang w:eastAsia="zh"/>
        </w:rPr>
        <w:t xml:space="preserve">: </w:t>
      </w:r>
      <w:r>
        <w:rPr>
          <w:rFonts w:hint="eastAsia"/>
        </w:rPr>
        <w:t>Integrate more advanced language models for better understanding of nuanced user prompts (e.g., GPT-based models for intent extraction).</w:t>
      </w:r>
    </w:p>
    <w:p w14:paraId="70B97D08" w14:textId="77777777" w:rsidR="00912A48" w:rsidRDefault="00000000">
      <w:pPr>
        <w:numPr>
          <w:ilvl w:val="0"/>
          <w:numId w:val="1"/>
        </w:numPr>
      </w:pPr>
      <w:r>
        <w:rPr>
          <w:rFonts w:hint="eastAsia"/>
        </w:rPr>
        <w:t>User feedback-driven refinements</w:t>
      </w:r>
      <w:r>
        <w:rPr>
          <w:rFonts w:hint="eastAsia"/>
          <w:lang w:eastAsia="zh"/>
        </w:rPr>
        <w:t xml:space="preserve">: </w:t>
      </w:r>
      <w:r>
        <w:rPr>
          <w:rFonts w:hint="eastAsia"/>
        </w:rPr>
        <w:t>Add real-time feedback mechanisms to rate routes and improve quality algorithms.</w:t>
      </w:r>
    </w:p>
    <w:p w14:paraId="729C9092" w14:textId="77777777" w:rsidR="00912A48" w:rsidRDefault="00912A48"/>
    <w:p w14:paraId="23DDFFC3" w14:textId="77777777" w:rsidR="00912A48" w:rsidRDefault="00000000">
      <w:pPr>
        <w:rPr>
          <w:b/>
          <w:bCs/>
        </w:rPr>
      </w:pPr>
      <w:r>
        <w:rPr>
          <w:rFonts w:hint="eastAsia"/>
          <w:b/>
          <w:bCs/>
        </w:rPr>
        <w:t>Technical Debt to Address</w:t>
      </w:r>
    </w:p>
    <w:p w14:paraId="48844F0B" w14:textId="77777777" w:rsidR="00912A48" w:rsidRDefault="00912A48"/>
    <w:p w14:paraId="2B1D30EA" w14:textId="77777777" w:rsidR="00912A48" w:rsidRDefault="00000000">
      <w:pPr>
        <w:numPr>
          <w:ilvl w:val="0"/>
          <w:numId w:val="1"/>
        </w:numPr>
      </w:pPr>
      <w:r>
        <w:rPr>
          <w:rFonts w:hint="eastAsia"/>
          <w:b/>
          <w:bCs/>
        </w:rPr>
        <w:t>Modular engine refactoring</w:t>
      </w:r>
      <w:r>
        <w:rPr>
          <w:rFonts w:hint="eastAsia"/>
          <w:b/>
          <w:bCs/>
          <w:lang w:eastAsia="zh"/>
        </w:rPr>
        <w:t xml:space="preserve">: </w:t>
      </w:r>
      <w:r>
        <w:rPr>
          <w:rFonts w:hint="eastAsia"/>
        </w:rPr>
        <w:t>Separate data source adapters and route computation for easier testing and extensibility.</w:t>
      </w:r>
    </w:p>
    <w:p w14:paraId="59F236FD" w14:textId="77777777" w:rsidR="00912A48" w:rsidRDefault="00000000">
      <w:pPr>
        <w:numPr>
          <w:ilvl w:val="0"/>
          <w:numId w:val="1"/>
        </w:numPr>
      </w:pPr>
      <w:r>
        <w:rPr>
          <w:rFonts w:hint="eastAsia"/>
          <w:b/>
          <w:bCs/>
        </w:rPr>
        <w:t>Performance optimization</w:t>
      </w:r>
      <w:r>
        <w:rPr>
          <w:rFonts w:hint="eastAsia"/>
          <w:b/>
          <w:bCs/>
          <w:lang w:eastAsia="zh"/>
        </w:rPr>
        <w:t xml:space="preserve">: </w:t>
      </w:r>
      <w:r>
        <w:rPr>
          <w:rFonts w:hint="eastAsia"/>
        </w:rPr>
        <w:t>Reduce latency from geolocation lookups and route generation in low-connectivity scenarios.</w:t>
      </w:r>
    </w:p>
    <w:p w14:paraId="511054DA" w14:textId="77777777" w:rsidR="00912A48" w:rsidRDefault="00912A48"/>
    <w:p w14:paraId="134FC2A9" w14:textId="77777777" w:rsidR="00912A48" w:rsidRDefault="00000000">
      <w:pPr>
        <w:rPr>
          <w:b/>
          <w:bCs/>
        </w:rPr>
      </w:pPr>
      <w:r>
        <w:rPr>
          <w:rFonts w:hint="eastAsia"/>
          <w:b/>
          <w:bCs/>
        </w:rPr>
        <w:lastRenderedPageBreak/>
        <w:t>Open Research Questions</w:t>
      </w:r>
    </w:p>
    <w:p w14:paraId="2645017A" w14:textId="77777777" w:rsidR="00912A48" w:rsidRDefault="00912A48"/>
    <w:p w14:paraId="27267BBB" w14:textId="77777777" w:rsidR="00912A48" w:rsidRDefault="00000000">
      <w:pPr>
        <w:numPr>
          <w:ilvl w:val="0"/>
          <w:numId w:val="1"/>
        </w:numPr>
      </w:pPr>
      <w:r>
        <w:rPr>
          <w:rFonts w:hint="eastAsia"/>
          <w:b/>
          <w:bCs/>
        </w:rPr>
        <w:t>Adaptive user intent learning</w:t>
      </w:r>
      <w:r>
        <w:rPr>
          <w:rFonts w:hint="eastAsia"/>
          <w:b/>
          <w:bCs/>
          <w:lang w:eastAsia="zh"/>
        </w:rPr>
        <w:t>:</w:t>
      </w:r>
      <w:r>
        <w:rPr>
          <w:rFonts w:hint="eastAsia"/>
          <w:lang w:eastAsia="zh"/>
        </w:rPr>
        <w:t xml:space="preserve"> </w:t>
      </w:r>
      <w:r>
        <w:rPr>
          <w:rFonts w:hint="eastAsia"/>
        </w:rPr>
        <w:t>How can the system learn from repeated user behavior to customize future recommendations?</w:t>
      </w:r>
    </w:p>
    <w:p w14:paraId="15EA0CD2" w14:textId="77777777" w:rsidR="00912A48" w:rsidRDefault="00000000">
      <w:pPr>
        <w:numPr>
          <w:ilvl w:val="0"/>
          <w:numId w:val="1"/>
        </w:numPr>
      </w:pPr>
      <w:r>
        <w:rPr>
          <w:rFonts w:hint="eastAsia"/>
          <w:b/>
          <w:bCs/>
        </w:rPr>
        <w:t>Dynamic data fusion</w:t>
      </w:r>
      <w:r>
        <w:rPr>
          <w:rFonts w:hint="eastAsia"/>
          <w:b/>
          <w:bCs/>
          <w:lang w:eastAsia="zh"/>
        </w:rPr>
        <w:t xml:space="preserve">: </w:t>
      </w:r>
      <w:r>
        <w:rPr>
          <w:rFonts w:hint="eastAsia"/>
        </w:rPr>
        <w:t>How to effectively combine live API responses, static fallback data, and user history in a real-time planner engine?</w:t>
      </w:r>
    </w:p>
    <w:p w14:paraId="6CD843B4" w14:textId="77777777" w:rsidR="00912A48" w:rsidRDefault="00912A48"/>
    <w:p w14:paraId="0BA47529" w14:textId="77777777" w:rsidR="00912A48" w:rsidRDefault="00000000">
      <w:r>
        <w:rPr>
          <w:rFonts w:hint="eastAsia"/>
          <w:b/>
          <w:bCs/>
        </w:rPr>
        <w:t>References</w:t>
      </w:r>
    </w:p>
    <w:p w14:paraId="3DD203D6" w14:textId="77777777" w:rsidR="00912A48" w:rsidRDefault="00000000">
      <w:pPr>
        <w:numPr>
          <w:ilvl w:val="0"/>
          <w:numId w:val="2"/>
        </w:numPr>
      </w:pPr>
      <w:r>
        <w:rPr>
          <w:rFonts w:hint="eastAsia"/>
        </w:rPr>
        <w:t>Google Maps Platform. (n.d.). Routes API documentation. https://developers.google.com/maps/documentation</w:t>
      </w:r>
    </w:p>
    <w:p w14:paraId="53EFED82" w14:textId="77777777" w:rsidR="00912A48" w:rsidRDefault="00000000">
      <w:pPr>
        <w:numPr>
          <w:ilvl w:val="0"/>
          <w:numId w:val="2"/>
        </w:numPr>
      </w:pPr>
      <w:r>
        <w:rPr>
          <w:rFonts w:hint="eastAsia"/>
        </w:rPr>
        <w:t>Apple Developer. (n.d.). MapKit and Core Location documentation. https://developer.apple.com/documentation</w:t>
      </w:r>
    </w:p>
    <w:p w14:paraId="4C7A35EE" w14:textId="77777777" w:rsidR="00912A48" w:rsidRDefault="00000000">
      <w:pPr>
        <w:numPr>
          <w:ilvl w:val="0"/>
          <w:numId w:val="2"/>
        </w:numPr>
      </w:pPr>
      <w:r>
        <w:rPr>
          <w:rFonts w:hint="eastAsia"/>
        </w:rPr>
        <w:t>Overpass API. (n.d.). OpenStreetMap data query API. https://overpass-api.de</w:t>
      </w:r>
    </w:p>
    <w:p w14:paraId="6F924378" w14:textId="77777777" w:rsidR="00912A48" w:rsidRDefault="00000000">
      <w:pPr>
        <w:numPr>
          <w:ilvl w:val="0"/>
          <w:numId w:val="2"/>
        </w:numPr>
      </w:pPr>
      <w:r>
        <w:rPr>
          <w:rFonts w:hint="eastAsia"/>
        </w:rPr>
        <w:t>Nominatim. (n.d.). OpenStreetMap geocoding service. https://nominatim.org</w:t>
      </w:r>
    </w:p>
    <w:p w14:paraId="16411A17" w14:textId="77777777" w:rsidR="00912A48" w:rsidRDefault="00000000">
      <w:pPr>
        <w:numPr>
          <w:ilvl w:val="0"/>
          <w:numId w:val="2"/>
        </w:numPr>
      </w:pPr>
      <w:r>
        <w:rPr>
          <w:rFonts w:hint="eastAsia"/>
        </w:rPr>
        <w:t>Mapbox OSRM. (n.d.). Open Source Routing Machine documentation. https://project-osrm.org</w:t>
      </w:r>
    </w:p>
    <w:p w14:paraId="0B9F5F19" w14:textId="77777777" w:rsidR="00912A48" w:rsidRDefault="00000000">
      <w:pPr>
        <w:numPr>
          <w:ilvl w:val="0"/>
          <w:numId w:val="2"/>
        </w:numPr>
      </w:pPr>
      <w:r>
        <w:rPr>
          <w:rFonts w:hint="eastAsia"/>
        </w:rPr>
        <w:t>US20190382721A1. (2019). Travel planning itinerary generation [Patent]. https://patents.google.com</w:t>
      </w:r>
    </w:p>
    <w:p w14:paraId="73B4B78A" w14:textId="77777777" w:rsidR="00912A48" w:rsidRDefault="00912A48"/>
    <w:p w14:paraId="1E1443DF" w14:textId="77777777" w:rsidR="00912A48" w:rsidRDefault="00912A48"/>
    <w:sectPr w:rsidR="00912A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6A6940"/>
    <w:multiLevelType w:val="multilevel"/>
    <w:tmpl w:val="E56A694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5D63253"/>
    <w:multiLevelType w:val="singleLevel"/>
    <w:tmpl w:val="F5D63253"/>
    <w:lvl w:ilvl="0">
      <w:start w:val="1"/>
      <w:numFmt w:val="decimal"/>
      <w:lvlText w:val="%1."/>
      <w:lvlJc w:val="left"/>
      <w:pPr>
        <w:tabs>
          <w:tab w:val="left" w:pos="425"/>
        </w:tabs>
        <w:ind w:left="425" w:hanging="425"/>
      </w:pPr>
      <w:rPr>
        <w:rFonts w:hint="default"/>
      </w:rPr>
    </w:lvl>
  </w:abstractNum>
  <w:num w:numId="1" w16cid:durableId="1882740344">
    <w:abstractNumId w:val="0"/>
  </w:num>
  <w:num w:numId="2" w16cid:durableId="168146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966C5F0E"/>
    <w:rsid w:val="966C5F0E"/>
    <w:rsid w:val="FFBDE276"/>
    <w:rsid w:val="002A7B03"/>
    <w:rsid w:val="00912A48"/>
    <w:rsid w:val="00A924B7"/>
    <w:rsid w:val="3E837D0B"/>
    <w:rsid w:val="7BDCB64B"/>
    <w:rsid w:val="7FB02767"/>
    <w:rsid w:val="966C5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docId w15:val="{CEFE61CB-7398-8544-8389-62A6A13A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Lexie</dc:creator>
  <cp:lastModifiedBy>HG9928</cp:lastModifiedBy>
  <cp:revision>2</cp:revision>
  <dcterms:created xsi:type="dcterms:W3CDTF">2026-05-13T13:40:00Z</dcterms:created>
  <dcterms:modified xsi:type="dcterms:W3CDTF">2026-05-13T13:40:00Z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719102065AD8FCEAE9F9EA690FBC1356_43</vt:lpwstr>
  </property>
</Properties>
</file>