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</w:p>
    <w:p>
      <w:pPr>
        <w:jc w:val="left"/>
      </w:pPr>
      <w:r>
        <w:rPr>
          <w:rFonts w:hint="eastAsia"/>
        </w:rPr>
        <w:t xml:space="preserve"> </w:t>
      </w:r>
    </w:p>
    <w:p>
      <w:pPr>
        <w:jc w:val="left"/>
      </w:pPr>
      <w:r>
        <w:rPr>
          <w:rFonts w:hint="eastAsia"/>
        </w:rPr>
        <w:t xml:space="preserve"> </w:t>
      </w:r>
    </w:p>
    <w:p>
      <w:pPr>
        <w:jc w:val="left"/>
      </w:pPr>
      <w:r>
        <w:rPr>
          <w:rFonts w:hint="eastAsia"/>
        </w:rPr>
        <w:t xml:space="preserve"> </w:t>
      </w:r>
    </w:p>
    <w:p>
      <w:pPr>
        <w:jc w:val="left"/>
      </w:pPr>
      <w:r>
        <w:rPr>
          <w:rFonts w:hint="eastAsia"/>
        </w:rPr>
        <w:t xml:space="preserve"> </w:t>
      </w:r>
    </w:p>
    <w:p>
      <w:pPr>
        <w:jc w:val="center"/>
      </w:pPr>
      <w:r>
        <w:drawing>
          <wp:inline distT="0" distB="0" distL="0" distR="0">
            <wp:extent cx="1228725" cy="1533525"/>
            <wp:effectExtent l="0" t="0" r="9525" b="9525"/>
            <wp:docPr id="1" name="图片 1" descr="C:\Users\86136\AppData\Local\Temp\ksohtml1410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86136\AppData\Local\Temp\ksohtml14104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jc w:val="left"/>
      </w:pPr>
      <w:r>
        <w:rPr>
          <w:rFonts w:hint="eastAsia"/>
        </w:rPr>
        <w:t xml:space="preserve"> </w:t>
      </w:r>
    </w:p>
    <w:p>
      <w:pPr>
        <w:jc w:val="left"/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 </w:t>
      </w:r>
    </w:p>
    <w:p>
      <w:pPr>
        <w:jc w:val="center"/>
        <w:rPr>
          <w:sz w:val="44"/>
          <w:szCs w:val="44"/>
        </w:rPr>
      </w:pPr>
      <w:r>
        <w:rPr>
          <w:rFonts w:hint="eastAsia"/>
          <w:b/>
          <w:sz w:val="72"/>
          <w:szCs w:val="72"/>
        </w:rPr>
        <w:t>施工管理及作业活动风险分级管控清单</w:t>
      </w:r>
    </w:p>
    <w:p>
      <w:pPr>
        <w:ind w:firstLine="2650" w:firstLineChars="1100"/>
        <w:rPr>
          <w:rFonts w:ascii="宋体" w:hAnsi="宋体"/>
          <w:b/>
          <w:bCs/>
          <w:sz w:val="24"/>
          <w:szCs w:val="24"/>
        </w:rPr>
      </w:pPr>
    </w:p>
    <w:p>
      <w:pPr>
        <w:ind w:firstLine="3092" w:firstLineChars="1100"/>
        <w:rPr>
          <w:rFonts w:ascii="宋体" w:hAnsi="宋体"/>
          <w:b/>
          <w:bCs/>
          <w:sz w:val="28"/>
          <w:szCs w:val="28"/>
        </w:rPr>
      </w:pPr>
    </w:p>
    <w:p>
      <w:pPr>
        <w:ind w:firstLine="3092" w:firstLineChars="1100"/>
        <w:rPr>
          <w:rFonts w:ascii="宋体" w:hAnsi="宋体"/>
          <w:b/>
          <w:bCs/>
          <w:sz w:val="28"/>
          <w:szCs w:val="28"/>
        </w:rPr>
      </w:pPr>
    </w:p>
    <w:p>
      <w:pPr>
        <w:ind w:firstLine="3092" w:firstLineChars="1100"/>
        <w:rPr>
          <w:rFonts w:ascii="宋体" w:hAnsi="宋体"/>
          <w:b/>
          <w:bCs/>
          <w:sz w:val="28"/>
          <w:szCs w:val="28"/>
        </w:rPr>
      </w:pPr>
    </w:p>
    <w:p>
      <w:pPr>
        <w:ind w:firstLine="3092" w:firstLineChars="1100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编制：</w:t>
      </w:r>
    </w:p>
    <w:p>
      <w:pPr>
        <w:ind w:firstLine="3092" w:firstLineChars="1100"/>
        <w:rPr>
          <w:rFonts w:ascii="宋体" w:hAnsi="宋体"/>
          <w:b/>
          <w:bCs/>
          <w:sz w:val="28"/>
          <w:szCs w:val="28"/>
        </w:rPr>
      </w:pPr>
    </w:p>
    <w:p>
      <w:pPr>
        <w:ind w:firstLine="3092" w:firstLineChars="1100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审核：</w:t>
      </w:r>
    </w:p>
    <w:p>
      <w:pPr>
        <w:ind w:firstLine="3092" w:firstLineChars="1100"/>
        <w:rPr>
          <w:rFonts w:ascii="宋体" w:hAnsi="宋体"/>
          <w:b/>
          <w:bCs/>
          <w:sz w:val="28"/>
          <w:szCs w:val="28"/>
        </w:rPr>
      </w:pPr>
    </w:p>
    <w:p>
      <w:pPr>
        <w:ind w:firstLine="3092" w:firstLineChars="1100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批准：</w:t>
      </w:r>
    </w:p>
    <w:p>
      <w:pPr>
        <w:jc w:val="left"/>
        <w:rPr>
          <w:sz w:val="44"/>
          <w:szCs w:val="44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highlight w:val="cyan"/>
          <w:lang w:eastAsia="zh-CN"/>
        </w:rPr>
        <w:t>注意：各项目必须明确责任人，写具体名字</w:t>
      </w:r>
      <w:r>
        <w:rPr>
          <w:rFonts w:hint="eastAsia" w:ascii="宋体" w:hAnsi="宋体" w:cs="宋体"/>
          <w:color w:val="FF0000"/>
          <w:sz w:val="28"/>
          <w:szCs w:val="28"/>
          <w:highlight w:val="cyan"/>
          <w:lang w:eastAsia="zh-CN"/>
        </w:rPr>
        <w:t>，多人负责可写在备注栏内</w:t>
      </w:r>
      <w:r>
        <w:rPr>
          <w:rFonts w:hint="eastAsia" w:ascii="宋体" w:hAnsi="宋体" w:eastAsia="宋体" w:cs="宋体"/>
          <w:color w:val="FF0000"/>
          <w:sz w:val="28"/>
          <w:szCs w:val="28"/>
          <w:highlight w:val="cyan"/>
          <w:lang w:eastAsia="zh-CN"/>
        </w:rPr>
        <w:t>！</w:t>
      </w:r>
      <w:r>
        <w:rPr>
          <w:rFonts w:hint="eastAsia"/>
          <w:sz w:val="44"/>
          <w:szCs w:val="44"/>
        </w:rPr>
        <w:t xml:space="preserve"> </w:t>
      </w: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</w:p>
    <w:p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</w:p>
    <w:p>
      <w:pPr>
        <w:jc w:val="center"/>
        <w:rPr>
          <w:rFonts w:ascii="宋体" w:hAnsi="宋体"/>
          <w:sz w:val="32"/>
          <w:szCs w:val="32"/>
          <w:highlight w:val="yellow"/>
        </w:rPr>
      </w:pPr>
      <w:r>
        <w:rPr>
          <w:rFonts w:hint="eastAsia" w:ascii="宋体" w:hAnsi="宋体"/>
          <w:sz w:val="32"/>
          <w:szCs w:val="32"/>
          <w:highlight w:val="yellow"/>
        </w:rPr>
        <w:t>北京佳和建设工程有限公司</w:t>
      </w:r>
    </w:p>
    <w:p>
      <w:pPr>
        <w:jc w:val="center"/>
        <w:rPr>
          <w:rFonts w:ascii="宋体" w:hAnsi="宋体"/>
          <w:sz w:val="32"/>
          <w:szCs w:val="32"/>
          <w:highlight w:val="yellow"/>
        </w:rPr>
      </w:pPr>
      <w:r>
        <w:rPr>
          <w:rFonts w:hint="eastAsia" w:ascii="宋体" w:hAnsi="宋体"/>
          <w:sz w:val="32"/>
          <w:szCs w:val="32"/>
          <w:highlight w:val="yellow"/>
        </w:rPr>
        <w:t>XXX工程项目部</w:t>
      </w:r>
    </w:p>
    <w:p>
      <w:pPr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 xml:space="preserve"> </w:t>
      </w:r>
    </w:p>
    <w:p>
      <w:pPr>
        <w:jc w:val="center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年 月 日</w:t>
      </w: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</w:p>
    <w:p>
      <w:pPr>
        <w:jc w:val="left"/>
        <w:rPr>
          <w:rFonts w:ascii="宋体" w:hAnsi="宋体"/>
          <w:b/>
          <w:bCs/>
          <w:sz w:val="24"/>
          <w:szCs w:val="24"/>
        </w:rPr>
        <w:sectPr>
          <w:pgSz w:w="12240" w:h="15840"/>
          <w:pgMar w:top="1157" w:right="1800" w:bottom="1157" w:left="1800" w:header="720" w:footer="720" w:gutter="0"/>
          <w:cols w:space="720" w:num="1"/>
        </w:sect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施工管理及作业活动风险分级管控清单</w:t>
      </w:r>
    </w:p>
    <w:tbl>
      <w:tblPr>
        <w:tblStyle w:val="6"/>
        <w:tblW w:w="15495" w:type="dxa"/>
        <w:tblInd w:w="-4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705"/>
        <w:gridCol w:w="570"/>
        <w:gridCol w:w="2685"/>
        <w:gridCol w:w="1425"/>
        <w:gridCol w:w="660"/>
        <w:gridCol w:w="1004"/>
        <w:gridCol w:w="1208"/>
        <w:gridCol w:w="1028"/>
        <w:gridCol w:w="1110"/>
        <w:gridCol w:w="1095"/>
        <w:gridCol w:w="1110"/>
        <w:gridCol w:w="171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  <w:vMerge w:val="restart"/>
            <w:vAlign w:val="center"/>
          </w:tcPr>
          <w:p>
            <w:pPr>
              <w:pStyle w:val="20"/>
              <w:spacing w:line="220" w:lineRule="exact"/>
              <w:ind w:firstLine="0" w:firstLineChars="0"/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序号</w:t>
            </w: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作业活动</w:t>
            </w:r>
          </w:p>
        </w:tc>
        <w:tc>
          <w:tcPr>
            <w:tcW w:w="3255" w:type="dxa"/>
            <w:gridSpan w:val="2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危险因素或潜在事件</w:t>
            </w:r>
          </w:p>
        </w:tc>
        <w:tc>
          <w:tcPr>
            <w:tcW w:w="142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可能发生的事故类型及后果</w:t>
            </w:r>
          </w:p>
        </w:tc>
        <w:tc>
          <w:tcPr>
            <w:tcW w:w="660" w:type="dxa"/>
            <w:vMerge w:val="restart"/>
            <w:vAlign w:val="center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风险</w:t>
            </w: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等</w:t>
            </w:r>
            <w:r>
              <w:rPr>
                <w:rFonts w:hint="eastAsia" w:ascii="仿宋" w:hAnsi="仿宋" w:eastAsia="仿宋" w:cs="仿宋"/>
                <w:b/>
              </w:rPr>
              <w:t>级</w:t>
            </w:r>
          </w:p>
        </w:tc>
        <w:tc>
          <w:tcPr>
            <w:tcW w:w="5445" w:type="dxa"/>
            <w:gridSpan w:val="5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管控措施</w:t>
            </w:r>
          </w:p>
        </w:tc>
        <w:tc>
          <w:tcPr>
            <w:tcW w:w="1110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管控层级</w:t>
            </w:r>
          </w:p>
        </w:tc>
        <w:tc>
          <w:tcPr>
            <w:tcW w:w="1710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责任人</w:t>
            </w:r>
          </w:p>
        </w:tc>
        <w:tc>
          <w:tcPr>
            <w:tcW w:w="660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  <w:vMerge w:val="continue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</w:tc>
        <w:tc>
          <w:tcPr>
            <w:tcW w:w="3255" w:type="dxa"/>
            <w:gridSpan w:val="2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</w:tc>
        <w:tc>
          <w:tcPr>
            <w:tcW w:w="142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</w:tc>
        <w:tc>
          <w:tcPr>
            <w:tcW w:w="660" w:type="dxa"/>
            <w:vMerge w:val="continue"/>
            <w:vAlign w:val="center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技术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措施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管理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措施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教育培训措施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个体防护措施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应急处置措施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一、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施工管理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未制定施工安全管理专项方案、危大工程没有组织专家论证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触电/机械伤害/坍塌/高处坠落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制定方案落实</w:t>
            </w:r>
          </w:p>
        </w:tc>
        <w:tc>
          <w:tcPr>
            <w:tcW w:w="120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按规定进行审核把关</w:t>
            </w: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方案交底</w:t>
            </w:r>
          </w:p>
        </w:tc>
        <w:tc>
          <w:tcPr>
            <w:tcW w:w="1110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Merge w:val="restart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检查整改落实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检查整改落实</w:t>
            </w: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技术负责人</w:t>
            </w:r>
          </w:p>
        </w:tc>
        <w:tc>
          <w:tcPr>
            <w:tcW w:w="66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安全专项方案没有履行审批手续就组织施工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触电/机械伤害/坍塌/高处坠落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制定方案落实</w:t>
            </w:r>
          </w:p>
        </w:tc>
        <w:tc>
          <w:tcPr>
            <w:tcW w:w="120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严格履行审批手续</w:t>
            </w:r>
          </w:p>
        </w:tc>
        <w:tc>
          <w:tcPr>
            <w:tcW w:w="1028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技术负责人</w:t>
            </w:r>
          </w:p>
        </w:tc>
        <w:tc>
          <w:tcPr>
            <w:tcW w:w="66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安全管理制度不健全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触电/机械伤害/坍塌/高处坠落/物打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编制安全管理制度</w:t>
            </w:r>
          </w:p>
        </w:tc>
        <w:tc>
          <w:tcPr>
            <w:tcW w:w="120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按安全管理要求建立健全</w:t>
            </w: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全员需培训教育</w:t>
            </w: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正确使用个体劳动防护用品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</w:tc>
        <w:tc>
          <w:tcPr>
            <w:tcW w:w="66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安全生产应急救援预案不健全、未组织演练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触电/机械伤害/坍塌/高处坠落/物打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编制应急救援预案</w:t>
            </w:r>
          </w:p>
        </w:tc>
        <w:tc>
          <w:tcPr>
            <w:tcW w:w="120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建立应急演练机制和管理机制</w:t>
            </w: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按要求定期组织演练</w:t>
            </w: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自救、互救、呼救、报警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未设置安全管理机构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触电/机械伤害/坍塌/高处坠落/物打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编制安全管理制度</w:t>
            </w:r>
          </w:p>
        </w:tc>
        <w:tc>
          <w:tcPr>
            <w:tcW w:w="120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严格执行国家法律法规</w:t>
            </w: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管理人员需进行培训</w:t>
            </w: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技术负责人</w:t>
            </w:r>
          </w:p>
        </w:tc>
        <w:tc>
          <w:tcPr>
            <w:tcW w:w="66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未与分包签订安全生产管理协议书、交叉作业安全管理协议书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高处坠落/机械伤害/触电等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进场前签订协议</w:t>
            </w:r>
          </w:p>
        </w:tc>
        <w:tc>
          <w:tcPr>
            <w:tcW w:w="120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按规定进行检查把关</w:t>
            </w:r>
          </w:p>
        </w:tc>
        <w:tc>
          <w:tcPr>
            <w:tcW w:w="1028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分包负责人</w:t>
            </w:r>
          </w:p>
        </w:tc>
        <w:tc>
          <w:tcPr>
            <w:tcW w:w="66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安全隐患整改不及时、违章指挥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高处坠落/机械伤害/触电等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制定检查制度</w:t>
            </w:r>
          </w:p>
        </w:tc>
        <w:tc>
          <w:tcPr>
            <w:tcW w:w="120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按规定进行检查把关</w:t>
            </w:r>
          </w:p>
        </w:tc>
        <w:tc>
          <w:tcPr>
            <w:tcW w:w="1028" w:type="dxa"/>
            <w:vAlign w:val="center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针对问题进行教育</w:t>
            </w: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使用、佩戴合格的防护用品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技术负责人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无安全技术交底/安全技术交底缺少针对性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触电/机械伤害/坍塌/高处坠落/物打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制定检查制度</w:t>
            </w:r>
          </w:p>
        </w:tc>
        <w:tc>
          <w:tcPr>
            <w:tcW w:w="120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按规定进行审核把关</w:t>
            </w: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进行安全技术交底</w:t>
            </w:r>
          </w:p>
        </w:tc>
        <w:tc>
          <w:tcPr>
            <w:tcW w:w="1110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技术负责人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未按要求进行安全检查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高处坠落/物体打击/触电等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制定检查制度</w:t>
            </w:r>
          </w:p>
        </w:tc>
        <w:tc>
          <w:tcPr>
            <w:tcW w:w="1208" w:type="dxa"/>
            <w:vMerge w:val="restart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按规定进行检查把关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使用、佩戴合格的防护用品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使用不合格机械设备，维修保养不到位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等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1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制定检查制度</w:t>
            </w:r>
          </w:p>
        </w:tc>
        <w:tc>
          <w:tcPr>
            <w:tcW w:w="1208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Align w:val="center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针对问题进行教育</w:t>
            </w:r>
          </w:p>
        </w:tc>
        <w:tc>
          <w:tcPr>
            <w:tcW w:w="1110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公司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孙建钟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管理人员及作业工人未经过安全教育培训、考核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高处坠落/物体打击/触电等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制定教育培训制度</w:t>
            </w:r>
          </w:p>
        </w:tc>
        <w:tc>
          <w:tcPr>
            <w:tcW w:w="1208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全员安全培训教育</w:t>
            </w:r>
          </w:p>
        </w:tc>
        <w:tc>
          <w:tcPr>
            <w:tcW w:w="1110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分包负责人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沥青拌合站拆装、高杆灯安装等起重吊装区域未设置警戒线，没有安全员旁站监督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制定专项方案</w:t>
            </w:r>
          </w:p>
        </w:tc>
        <w:tc>
          <w:tcPr>
            <w:tcW w:w="1208" w:type="dxa"/>
            <w:vMerge w:val="restart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按规定检查、审核把关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落实安全培训教育</w:t>
            </w:r>
          </w:p>
        </w:tc>
        <w:tc>
          <w:tcPr>
            <w:tcW w:w="1110" w:type="dxa"/>
            <w:vAlign w:val="center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使用、佩戴合格的防护用品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技术负责人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大型机械设备未进行验收投入施工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制定管理制度</w:t>
            </w:r>
          </w:p>
        </w:tc>
        <w:tc>
          <w:tcPr>
            <w:tcW w:w="1208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分包负责人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允许无证人员操作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触电、机械伤害等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制定管理制度</w:t>
            </w:r>
          </w:p>
        </w:tc>
        <w:tc>
          <w:tcPr>
            <w:tcW w:w="1208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center"/>
          </w:tcPr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Merge w:val="continue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施工员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二、地基基础施工作业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基坑施工时放坡不符合规定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highlight w:val="yellow"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制定施工方案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按方案规定进行检查把关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</w:tcPr>
          <w:p>
            <w:pPr>
              <w:spacing w:line="220" w:lineRule="exact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</w:rPr>
              <w:t>方案培训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、</w:t>
            </w:r>
          </w:p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安全教育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使用、佩戴合格的防护用品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制定应急预案，配备应急救援器材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技术负责人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分包负责人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开挖深度超过2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米的沟槽，未按标准设围拦防护和密目安全网封挡</w:t>
            </w:r>
            <w:r>
              <w:rPr>
                <w:rStyle w:val="13"/>
                <w:rFonts w:hint="eastAsia" w:ascii="仿宋" w:hAnsi="仿宋" w:eastAsia="仿宋" w:cs="仿宋"/>
                <w:sz w:val="21"/>
                <w:szCs w:val="21"/>
                <w:lang w:eastAsia="zh-CN" w:bidi="ar"/>
              </w:rPr>
              <w:t>、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未搭设上下通道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坍塌/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highlight w:val="yellow"/>
              </w:rPr>
            </w:pPr>
            <w:r>
              <w:rPr>
                <w:rFonts w:hint="eastAsia" w:ascii="仿宋" w:hAnsi="仿宋" w:eastAsia="仿宋" w:cs="仿宋"/>
                <w:color w:val="000000"/>
                <w:highlight w:val="yellow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00" w:lineRule="atLeas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Style w:val="13"/>
                <w:rFonts w:ascii="仿宋" w:hAnsi="仿宋" w:eastAsia="仿宋" w:cs="仿宋"/>
                <w:lang w:eastAsia="zh-CN" w:bidi="ar"/>
              </w:rPr>
              <w:t>强夯等</w:t>
            </w:r>
            <w:r>
              <w:rPr>
                <w:rStyle w:val="13"/>
                <w:rFonts w:ascii="仿宋" w:hAnsi="仿宋" w:eastAsia="仿宋" w:cs="仿宋"/>
                <w:lang w:bidi="ar"/>
              </w:rPr>
              <w:t>危险</w:t>
            </w:r>
            <w:r>
              <w:rPr>
                <w:rStyle w:val="13"/>
                <w:rFonts w:ascii="仿宋" w:hAnsi="仿宋" w:eastAsia="仿宋" w:cs="仿宋"/>
                <w:lang w:eastAsia="zh-CN" w:bidi="ar"/>
              </w:rPr>
              <w:t>区域</w:t>
            </w:r>
            <w:r>
              <w:rPr>
                <w:rStyle w:val="13"/>
                <w:rFonts w:ascii="仿宋" w:hAnsi="仿宋" w:eastAsia="仿宋" w:cs="仿宋"/>
                <w:lang w:bidi="ar"/>
              </w:rPr>
              <w:t>未设</w:t>
            </w:r>
            <w:r>
              <w:rPr>
                <w:rStyle w:val="13"/>
                <w:rFonts w:ascii="仿宋" w:hAnsi="仿宋" w:eastAsia="仿宋" w:cs="仿宋"/>
                <w:lang w:eastAsia="zh-CN" w:bidi="ar"/>
              </w:rPr>
              <w:t>警戒线及警示标识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坍塌/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highlight w:val="yellow"/>
              </w:rPr>
            </w:pPr>
            <w:r>
              <w:rPr>
                <w:rFonts w:hint="eastAsia" w:ascii="仿宋" w:hAnsi="仿宋" w:eastAsia="仿宋" w:cs="仿宋"/>
                <w:color w:val="000000"/>
                <w:highlight w:val="yellow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设置警戒带、警示标识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在沟、坑、槽边沿1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米内堆土、堆料、停置机具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坍塌/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highlight w:val="yellow"/>
              </w:rPr>
            </w:pPr>
            <w:r>
              <w:rPr>
                <w:rFonts w:hint="eastAsia" w:ascii="仿宋" w:hAnsi="仿宋" w:eastAsia="仿宋" w:cs="仿宋"/>
                <w:color w:val="000000"/>
                <w:highlight w:val="yellow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深坑基础护壁不符合规定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highlight w:val="yellow"/>
              </w:rPr>
            </w:pPr>
            <w:r>
              <w:rPr>
                <w:rFonts w:hint="eastAsia" w:ascii="仿宋" w:hAnsi="仿宋" w:eastAsia="仿宋" w:cs="仿宋"/>
                <w:color w:val="000000"/>
                <w:highlight w:val="yellow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技术负责人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机械设备施工与槽边安全距离不符合规定，又无措施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highlight w:val="yellow"/>
              </w:rPr>
            </w:pPr>
            <w:r>
              <w:rPr>
                <w:rFonts w:hint="eastAsia" w:ascii="仿宋" w:hAnsi="仿宋" w:eastAsia="仿宋" w:cs="仿宋"/>
                <w:color w:val="000000"/>
                <w:highlight w:val="yellow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未设置有效的排水挡水措施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color w:val="000000"/>
                <w:highlight w:val="yellow"/>
              </w:rPr>
            </w:pPr>
            <w:r>
              <w:rPr>
                <w:rFonts w:hint="eastAsia" w:ascii="仿宋" w:hAnsi="仿宋" w:eastAsia="仿宋" w:cs="仿宋"/>
                <w:color w:val="000000"/>
                <w:highlight w:val="yellow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三、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土方作业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挖掘机回转半径2米内有人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编制土方作业工程机械管理制度及安全操作规程</w:t>
            </w:r>
          </w:p>
        </w:tc>
        <w:tc>
          <w:tcPr>
            <w:tcW w:w="1208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按管理制度及安全操作规程进行现场检查把关</w:t>
            </w:r>
          </w:p>
        </w:tc>
        <w:tc>
          <w:tcPr>
            <w:tcW w:w="1028" w:type="dxa"/>
            <w:vMerge w:val="restart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制度及安全操作规程教育、安全技术交底、危险告知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夜间施工人员穿灯带反光衣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设置警戒带防止人员进入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挖掘机后视镜没有安装使用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使用、佩戴合格的防护用品</w:t>
            </w:r>
          </w:p>
        </w:tc>
        <w:tc>
          <w:tcPr>
            <w:tcW w:w="109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检查整改落实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挖掘机旋转行驶中，高速和急转弯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挖掘机下坡时，空挡滑行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坡边两侧无夜间照明和防护栏杆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挖掘机未定期维修和保养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驾驶室外，乘坐和站立人员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装载机未设专人就位指挥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施工现场内装载机超过时速5公里行驶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装载机超载行驶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lang w:eastAsia="zh-CN"/>
              </w:rPr>
              <w:t>四、爆破作业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岩凿机临近边坡作业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机械伤害/高处坠落/物体打击/坍塌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编制爆破作业专项施工方案，组织专家论证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安全技术交底、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使用、佩戴合格的防护用品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检查落实整改；应急救援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岩凿钻机风管破旧、老化、破损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岩凿机断杆伤人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岩凿机钻孔时产生大量粉尘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职业病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洒水降尘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防尘口罩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多装药造成单耗过大、填塞长度减小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爆破震动/飞石伤人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雷雨天气作业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雷击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1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方案交底、危险告知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检查落实应急救援</w:t>
            </w:r>
          </w:p>
        </w:tc>
        <w:tc>
          <w:tcPr>
            <w:tcW w:w="11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公司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孙建钟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项目经理</w:t>
            </w:r>
          </w:p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未按要求进行警戒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、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警戒人员不到位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炸药爆炸/飞石伤人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设置警戒线、安排监督员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检查落实应急救援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警戒点未携带有效的通信工具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炸药爆炸/飞石伤人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检查落实应急救援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警戒区内人员、车辆未撤离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炸药爆炸/飞石伤人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检查落实应急救援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作业场地附近堆放剩余爆破物品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火药爆炸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检查落实应急救援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爆破产生飞石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炸药爆炸/飞石伤人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检查落实应急救援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早爆、拒爆或盲爆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炸药爆炸/飞石伤人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检查落实应急救援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五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、脚手架搭拆作业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扣件表面有裂纹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坍塌//物体打击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依据《建筑施工扣件式钢管脚手架安全技术规范（2011版）》等规范编制《脚手架工程施工方案》</w:t>
            </w:r>
          </w:p>
        </w:tc>
        <w:tc>
          <w:tcPr>
            <w:tcW w:w="1208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依据规范和施工专项方案现场检查把关</w:t>
            </w:r>
          </w:p>
        </w:tc>
        <w:tc>
          <w:tcPr>
            <w:tcW w:w="1028" w:type="dxa"/>
            <w:vMerge w:val="restart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施工方案交底、安全技术交底、危险告知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/</w:t>
            </w:r>
          </w:p>
        </w:tc>
        <w:tc>
          <w:tcPr>
            <w:tcW w:w="1095" w:type="dxa"/>
            <w:vMerge w:val="restart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left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</w:rPr>
              <w:t>制定应急预案，备齐救援物资，定期演练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，应急处置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技术负责人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扣件、钢管无厂家检测报告，“三无”产品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坍塌/物体打击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/</w:t>
            </w: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非架子工操作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坍塌/高处坠落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/</w:t>
            </w: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技术负责人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拆除脚手架时，没设警戒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使用、佩戴合格的安全帽、安全带等防护用品</w:t>
            </w: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操作面未满铺脚手板，下层未兜设水平接网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高处坠落/倒塌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操作面未设防护栏杆和挡脚板，或立挂安全网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建筑物顶部的架子未按规定高于屋面，高出部分未设护拦和立挂安全网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脚手架未设上下通道或设置不符合要求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脚手架基础未平整夯实，无排水措施。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脚手架底部未按规定垫木和加绑扫地杆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架体与建筑物未按规定拉结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倒塌/高处坠落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未按规定设置剪刀撑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倒塌/高处坠落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剪刀撑搭设不符合设计要求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倒塌/高处坠落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立杆、大横杆、小横杆间距不符合规范要求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各杆件之间搭结不符合规定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倒塌/高处坠落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未使用密目安全网沿外架子内侧进行封闭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倒塌/高处坠落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六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、模板安拆与存放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模板的支撑系统无设计计算或支撑系统不符合设计要求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高处坠落/物体打击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2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编制模板作业管理制度及安全操作规程</w:t>
            </w:r>
          </w:p>
        </w:tc>
        <w:tc>
          <w:tcPr>
            <w:tcW w:w="1208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按规定进行现场检查把关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教育培训安全技术交底、危险告知</w:t>
            </w:r>
          </w:p>
        </w:tc>
        <w:tc>
          <w:tcPr>
            <w:tcW w:w="1110" w:type="dxa"/>
            <w:vMerge w:val="restart"/>
          </w:tcPr>
          <w:p>
            <w:pPr>
              <w:spacing w:line="220" w:lineRule="exact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使用、佩戴合格的防护用品</w:t>
            </w:r>
          </w:p>
        </w:tc>
        <w:tc>
          <w:tcPr>
            <w:tcW w:w="109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</w:rPr>
              <w:t>制定应急预案，备齐救援物资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，应急处置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技术负责人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各种模板堆放不整齐、超高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模板上施工荷载超过规定或堆料不均匀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技术负责人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模板支撑固定在外脚手架上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模板拆除前无砼强度报告或强度未达到规定提前拆模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技术负责人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模板工程作业高度在2米以上（含2米）时，未搭设安全防护设施。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拆模未按照先支后拆、后支先拆的顺序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拆模未按照先拆非承重模板，后拆承重的模板及支撑的顺序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拆模作业时，未设警戒区，严禁下方有人进入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模板吊运过程中搭挂其他物料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模板支撑系统不牢固可靠，未设防护设施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模板上粘结附带混凝土块等清理不及时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七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、钢结构施工作业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吊索具、卡环不匹配造成受力不均匀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restart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编制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钢结构施工专项方案</w:t>
            </w:r>
            <w:r>
              <w:rPr>
                <w:rFonts w:hint="eastAsia" w:ascii="仿宋" w:hAnsi="仿宋" w:eastAsia="仿宋" w:cs="仿宋"/>
                <w:bCs/>
              </w:rPr>
              <w:t>及安全操作规程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按规定进行现场检查把关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教育培训安全技术交底、危险告知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使用、佩戴合格的防护用品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</w:rPr>
              <w:t>制定应急预案，备齐救援物资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，应急处置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技术负责人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工具袋不正确放置在钢构件上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安全保险直径选择不符合技术要求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吊装钢梁时未设安全保险绳或安全保险绳安装不符合规范要求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钢结构作业时，扳手、榔头等小型工具坠落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物体打击、伤人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配置工具袋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紧固高强螺栓时，不正确使用高强螺栓电动扭力扳手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钢柱校正时不正确使用钢丝绳和马鞍式卡口锁紧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焊工在钢梁上焊接作业时未系安全带、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焊工在钢梁上焊接作业时未使用接火盆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吊耳焊接不牢固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堆放的物料未放在压型钢板的主、次梁上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钢结构外临边未按规定设置水平安全挑网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安全教育、危险告知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、场道沥青施工作业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违反安全技术交底操作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机械伤害等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编制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沥青摊铺</w:t>
            </w:r>
            <w:r>
              <w:rPr>
                <w:rFonts w:hint="eastAsia" w:ascii="仿宋" w:hAnsi="仿宋" w:eastAsia="仿宋" w:cs="仿宋"/>
                <w:bCs/>
              </w:rPr>
              <w:t>作业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安全</w:t>
            </w:r>
            <w:r>
              <w:rPr>
                <w:rFonts w:hint="eastAsia" w:ascii="仿宋" w:hAnsi="仿宋" w:eastAsia="仿宋" w:cs="仿宋"/>
                <w:bCs/>
              </w:rPr>
              <w:t>管理制度及安全操作规程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按规定进行现场检查把关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安全技术交底、危险告知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安全帽</w:t>
            </w:r>
          </w:p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反光衣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检查落实整改、应急处置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技术负责人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施工员、安全员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劳动防护用品不合格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灼伤等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防护服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施工人员未经安全教育上岗操作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机械伤害/触电等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反光衣等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沥青喷洒烫伤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身体烫伤烧伤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防护服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试验室仪器漏电、短路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触电、仪器损坏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转动设备伤人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高温、高压伤人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中暑等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仁丹、清凉油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沥青中毒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中毒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口罩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沥青试验室沥青烟气排放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中毒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口罩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电动击实仪噪声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噪音伤害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降噪耳塞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bottom"/>
          </w:tcPr>
          <w:p>
            <w:pPr>
              <w:widowControl/>
              <w:spacing w:line="220" w:lineRule="exact"/>
              <w:jc w:val="left"/>
              <w:textAlignment w:val="bottom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搅拌机停机检修，停电未设专人监护，机械启动伤人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触电、机械伤害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bottom"/>
          </w:tcPr>
          <w:p>
            <w:pPr>
              <w:widowControl/>
              <w:spacing w:line="220" w:lineRule="exact"/>
              <w:jc w:val="left"/>
              <w:textAlignment w:val="bottom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违反职业岗位规定，派不符合要求的人员上岗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2685" w:type="dxa"/>
            <w:vAlign w:val="bottom"/>
          </w:tcPr>
          <w:p>
            <w:pPr>
              <w:widowControl/>
              <w:spacing w:line="220" w:lineRule="exact"/>
              <w:jc w:val="left"/>
              <w:textAlignment w:val="bottom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清理搅拌机工作电压不合适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九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、高处作业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人字梯等移动式架子搭投、使用不规范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制定安全技术规程</w:t>
            </w:r>
          </w:p>
        </w:tc>
        <w:tc>
          <w:tcPr>
            <w:tcW w:w="120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按规定进行现场检查把关</w:t>
            </w:r>
          </w:p>
        </w:tc>
        <w:tc>
          <w:tcPr>
            <w:tcW w:w="102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教育培训安全技术交底、危险告知</w:t>
            </w:r>
          </w:p>
        </w:tc>
        <w:tc>
          <w:tcPr>
            <w:tcW w:w="1110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正确使用安全帽、安全带</w:t>
            </w:r>
          </w:p>
        </w:tc>
        <w:tc>
          <w:tcPr>
            <w:tcW w:w="1095" w:type="dxa"/>
            <w:vMerge w:val="restart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制定应急救援预案，应急救援</w:t>
            </w: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移动作业平台、升降平台未经过验收使用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抛、扔等违反安全操作规程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酒后高处作业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恐高症者或有其他心理因素干扰者从事高空作业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攀坐不安全位置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癫痫病等病史者从事高空作业</w:t>
            </w:r>
          </w:p>
        </w:tc>
        <w:tc>
          <w:tcPr>
            <w:tcW w:w="1425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健康承诺、体检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、临时用电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保护接地、保护接零混乱或共存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编制临时用电施工组织设计</w:t>
            </w:r>
          </w:p>
        </w:tc>
        <w:tc>
          <w:tcPr>
            <w:tcW w:w="120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按规定进行现场检查把关；定期测试；识</w:t>
            </w:r>
          </w:p>
        </w:tc>
        <w:tc>
          <w:tcPr>
            <w:tcW w:w="102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教育培训安全技术交底、危险告知</w:t>
            </w:r>
          </w:p>
        </w:tc>
        <w:tc>
          <w:tcPr>
            <w:tcW w:w="1110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电工配备绝缘鞋、绝缘手套</w:t>
            </w:r>
          </w:p>
        </w:tc>
        <w:tc>
          <w:tcPr>
            <w:tcW w:w="1095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制定应急救援预案，配备应急救援器材，定期演练，应急救援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保护零线未单独敷设，并作它用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使用保护零线作负荷线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配电箱或漏电保护器未使用定点厂家的定点产品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开关箱无漏电保护器或漏电保护器失灵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固定式设备未使用专用开关箱，未执行“一机、一闸、一漏、一箱”的规定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触电/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漏电保护器装置参数不匹配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闸具、熔断器参数与设备容量不匹配，安装不符合要求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配电箱的箱门内无系统图和开关电器未标明用途，未设专人负责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电箱安装位置不当，周围杂物多，没有明显的安全标志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张贴警示标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电箱内的电器和导线有带电明露部分，相线使用端子板连接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电箱无门、无锁、无防雨措施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电箱内有杂物、不整齐、不清洁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配电线路的电线老化，破皮未包扎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2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执行临电方案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安全交底、教育培训、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定期演练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制定应急预案，配备应急救援器材，应急救援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在潮湿场所不使用安全电压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36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伏安全电压照明线路混乱和接头处未用绝缘胶布包扎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照明专用回路无漏电保护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室内灯具安装高度低于2.4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米，未使用安全电压供电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手持照明灯未使用36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伏及以下电源供电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绝缘鞋、绝缘手套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在高压架空输电线下方或上方作业无保护措施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执行临电规范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项目部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使用无生产厂家、无合格证的配电箱（电缆）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现场巡检把关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维修用电设备时未切断电源、未设专人监护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非电工操作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项目部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一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、焊接作业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焊渣阴燃引起明火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1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制定安全操作规程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护目镜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灭火器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电焊机无防触电装置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电焊机未单独设开关和漏电保护装置，外壳未做接零保护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电焊机一次线长度大于5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米，二次线长度大于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30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米，两侧接线未压牢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未安装防护罩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电焊机放置的地方没有防雨、防砸措施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电焊机周围堆放易燃易爆物品和其他杂物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灭火器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电焊机的焊钳和焊把线有破损或绝缘不好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焊把线与回路零线没有双线到位，借用金属管道、脚手架、轨道等作回路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二次线泡在水中，并被物料压在下方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在密闭场所施焊无排风措施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窒息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氧气瓶、乙炔瓶和焊点间的距离超标准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爆炸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焊割时未配备灭火器材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灼烫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检查落实整改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焊接时未有监护（看火）人员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操作人员未领取动火证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护目镜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防护面罩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粉尘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尘肺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洒水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职业健康危害告知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口罩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弧光辐射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眼病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职业健康危害告知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护目镜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防护面罩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18</w:t>
            </w:r>
          </w:p>
        </w:tc>
        <w:tc>
          <w:tcPr>
            <w:tcW w:w="2685" w:type="dxa"/>
            <w:vAlign w:val="bottom"/>
          </w:tcPr>
          <w:p>
            <w:pPr>
              <w:widowControl/>
              <w:spacing w:line="220" w:lineRule="exact"/>
              <w:jc w:val="left"/>
              <w:textAlignment w:val="bottom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电气焊明火作业违章操作或作业垂直下方有孔洞未封闭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防护面罩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焊接作业和木工、油漆、防水交叉作业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绝缘手套防护面罩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非焊工操作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、大型设备吊装作业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吊装重物质量不明、超极限吊装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编制起重吊装专项方案、安全操作规程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拌和站设备拆、装未设置警戒带，未旁站监督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不正确使用（选用）吊索具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1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高杆灯安装无方案、未设置警戒带，未旁站监督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流动式起重机未进场报验、人员资格未报审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允许无证人员操作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雨雪大风天气吊装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倾覆/物体打击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现场检查停止作业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三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、机械作业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大型机械作业未采取消音、吸音措施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耳（鸣）聋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编制安全操作规程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设置围挡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职业健康危害告知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降噪耳塞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场道施工摊铺机无防护设施或防护设施有缺陷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套丝机等机械设备未做保护接零、无漏电保护器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执行规程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设备无人操作时未切断电源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设备未按时进行保养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当发现设备漏保、失修或超载带病运转时，未按规定停止使用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在压路机碾压的过程中，压路机前进后退过程中，与操作的工人互相交叉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反光衣、安全帽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在送料带工作作态时，工作人员在其底下检查机器或清理废渣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砸伤、刮伤，甚至机卷人的事故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设备发生故障时，未切断电源检修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操作人员未按操作规程作业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按规程检查把关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四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、防腐、保温作业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照明线路、灯具未远离可燃的保温材料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制定作业指导书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空气压缩机的使用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噪声危害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Merge w:val="restart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教育培训、职业危害告知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防护耳塞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油漆有害物质的挥发对人体的伤害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气溶胶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Merge w:val="continue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口罩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使用有害保温材料时不穿戴防护服及过滤面罩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职业病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Merge w:val="continue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防护服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呼吸面罩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保温材料使用完后，未及时清理，集中存放保管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防护服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呼吸面罩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五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、砼浇筑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砼输送泵、振动棒应运转可靠，未选用低噪声的设备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触电、噪音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编制安全操作规程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both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绝缘手套防护耳塞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管道接头、安全阀、管架等未安装牢固，输送前未试送，检修时未卸压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开关箱内未装设漏电保护器，插座插头损坏，电源线破皮漏电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绝缘鞋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绝缘手套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操作人员未穿胶鞋戴绝缘手套。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操作人员湿手接触电源开关。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浇灌砼使用的溜槽节间未连接牢靠，操作部位无护身栏杆，直接站在溜放槽帮上操作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浇灌高度2m以上的框架梁、柱砼未搭设操作平台，站在模板或支撑上操作、直接在钢筋上踩踏、行走。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使用输送泵输送混凝土时，非2人以上人员牵引布料杆。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使用覆盖物养护砼时，预留孔洞未按规定设牢固盖板或围栏，并设安全标志。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高处坠落、物体打击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用软管浇水养护时，未将水管接头连接牢固，移动皮管猛拽、倒行拉移皮管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其他伤害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安全交底、危险告知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砼输送泵泵管的装、拆人员非熟练的、强壮的工人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物体打击、高处坠落、机械伤害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六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、化学危险品使用和存储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化学危险品未按规定存放使用（如：涂料、卷材等物质存放不符合规定，油漆库和稀料库房未分开存放等）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火灾/爆炸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1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执行管理制度，现场检查把关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在油漆库房调配稀料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易燃易爆仓库无良好的通风条件，且仓库照明等电气设备不符合防火规定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火灾/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爆炸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未按要求储存和使用油漆稀料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中毒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七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、用火作业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氧气瓶、乙炔瓶平放卧到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火灾/爆炸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制定用火作业安全管理制度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氧气瓶、乙炔瓶暴晒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火灾/爆炸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气瓶无防震圈和防护帽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爆炸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氧气、乙炔气管混用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爆炸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乙炔瓶使用时未装回火防止阀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火灾/爆炸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气瓶压力表损坏或失准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火灾/爆炸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消防设施、工具、器材设置不符合规定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在施建筑物内存放易燃易爆材料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施工现场未经批准，使用电热器具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在现场内吸烟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油漆库吸烟或明火作业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消防重点部位（油料场所、仓库等）未配备消防器材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宿舍内吸烟或动火做饭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、不停航施工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人员、车辆进场携带违禁品</w:t>
            </w:r>
          </w:p>
        </w:tc>
        <w:tc>
          <w:tcPr>
            <w:tcW w:w="142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影响航空器安全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编制不停航施工专项方案，组织专家论证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进场前自检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每天入场前教育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警示顶灯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工具进出场未登记、清点</w:t>
            </w:r>
          </w:p>
        </w:tc>
        <w:tc>
          <w:tcPr>
            <w:tcW w:w="142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施工中挖断地下管线</w:t>
            </w:r>
          </w:p>
        </w:tc>
        <w:tc>
          <w:tcPr>
            <w:tcW w:w="142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1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按图标明位置、人工探沟、物探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备齐抢修器材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道面污染</w:t>
            </w:r>
          </w:p>
        </w:tc>
        <w:tc>
          <w:tcPr>
            <w:tcW w:w="142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按方案检查落实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接油盆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施工机具超过净空管理规定</w:t>
            </w:r>
          </w:p>
        </w:tc>
        <w:tc>
          <w:tcPr>
            <w:tcW w:w="142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检查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FOD形成</w:t>
            </w:r>
          </w:p>
        </w:tc>
        <w:tc>
          <w:tcPr>
            <w:tcW w:w="142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巡查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人员、车辆擅入飞行区及非施工区域</w:t>
            </w:r>
          </w:p>
        </w:tc>
        <w:tc>
          <w:tcPr>
            <w:tcW w:w="142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划定区域、物理围挡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反光衣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九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、作业车辆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驾驶人员酒后驾车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道路交通安全法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依法检查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场内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驾驶人员疲劳驾驶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1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轮班作业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车辆在泥泞的路上快速行驶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发动后不检查仪表和制动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启动前未确认四周无障碍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载货车辆载货的长宽高超出有关规定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运输超标构件无妥善的方法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发动后不检查试倾液压机构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制定安全操作规程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配合装料时不拉手刹车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制定安全操作规程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10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卸料时车后方有人员活动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卸料后不复原就开车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向坑内卸料时不保持安全距离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出车前未对各种接头安全防护进行检查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装载大型物件无运输方案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编制运输方案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按方案检查把关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方案交底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装卸车时拖车不制动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制定安全操作规程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搭设跳板与地面角度过大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车辆行驶前未检查四周及车底是否有人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翻斗车行车载人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发动机运转和料斗装料时进行检修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车辆伤害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、作业环境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安全通道不良（照明、防滑、护栏〈网〉）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跌伤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空气质量不良（粉尘、烟尘、漆雾等有毒气体）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尘肺/中毒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防层口罩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非我方所产生的噪声、振动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头脑皮层兴奋，抑制平衡失调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防护耳塞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地面有障碍物、积水、不平等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跌伤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</w:t>
            </w: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Cs/>
                <w:lang w:eastAsia="zh-CN"/>
              </w:rPr>
              <w:t>落实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标志不清晰、不规范、选用不当、安放位置不当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触电、坠落等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现场检查把关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安全带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未经批准在有限空间内施工作业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中毒等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教育培训、安全交底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有限空间可燃气体/有毒气体检测分析不到位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中毒等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口罩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作业环境狭小、杂乱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碰伤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ind w:firstLine="210" w:firstLineChars="100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一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、不安全行为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在起吊物下作业（停留）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C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2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拉出警戒带、警示标志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在挖掘机械、汽车吊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val="en-US" w:eastAsia="zh-CN" w:bidi="ar"/>
              </w:rPr>
              <w:t>等大型机械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回转半径内作业或停留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物体打击、机械伤害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lang w:val="en-US" w:eastAsia="zh-CN"/>
              </w:rPr>
              <w:t>1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安全技术交底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项目经理</w:t>
            </w:r>
          </w:p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安全员、施工员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机器运转时作业（加油、修理、检查、调整、清扫等）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制定安全操作规程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用手代替工具操作（不用夹具固定等）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冒险进入危险场所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坠落、火灾等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警示标识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安全帽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未使用或不正确使用个人防护用品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高处坠落/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机械伤害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/</w:t>
            </w:r>
            <w:r>
              <w:rPr>
                <w:rStyle w:val="13"/>
                <w:rFonts w:hint="default" w:ascii="仿宋" w:hAnsi="仿宋" w:eastAsia="仿宋" w:cs="仿宋"/>
                <w:sz w:val="21"/>
                <w:szCs w:val="21"/>
                <w:lang w:bidi="ar"/>
              </w:rPr>
              <w:t>触电等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1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制定管理制度安全操作规程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教育培训安全交底危险告知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both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正确使用个体防护用品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不安全装束（戴长围巾、过于肥大衣服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eastAsia="zh-CN" w:bidi="ar"/>
              </w:rPr>
              <w:t>、穿拖鞋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等）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机械伤害等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有分散注意力的行为（工作中闲聊、思考、玩手机等）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机械伤害等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、材料堆放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建筑材料码放不整、超高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坍塌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制定管理规定</w:t>
            </w:r>
          </w:p>
        </w:tc>
        <w:tc>
          <w:tcPr>
            <w:tcW w:w="120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存放物料未按规定码放或堆放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</w:t>
            </w:r>
            <w:r>
              <w:rPr>
                <w:rStyle w:val="21"/>
                <w:rFonts w:hint="eastAsia" w:ascii="仿宋" w:hAnsi="仿宋" w:eastAsia="仿宋" w:cs="仿宋"/>
                <w:sz w:val="21"/>
                <w:szCs w:val="21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材料堆放架搭设不符合要求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倒塌</w:t>
            </w:r>
            <w:r>
              <w:rPr>
                <w:rStyle w:val="21"/>
                <w:rFonts w:hint="eastAsia" w:ascii="仿宋" w:hAnsi="仿宋" w:eastAsia="仿宋" w:cs="仿宋"/>
                <w:sz w:val="21"/>
                <w:szCs w:val="21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物体打击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整改落实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</w:rPr>
              <w:t>二十</w:t>
            </w:r>
            <w:r>
              <w:rPr>
                <w:rFonts w:hint="eastAsia" w:ascii="仿宋" w:hAnsi="仿宋" w:eastAsia="仿宋" w:cs="仿宋"/>
                <w:b/>
                <w:lang w:eastAsia="zh-CN"/>
              </w:rPr>
              <w:t>三</w:t>
            </w:r>
            <w:r>
              <w:rPr>
                <w:rFonts w:hint="eastAsia" w:ascii="仿宋" w:hAnsi="仿宋" w:eastAsia="仿宋" w:cs="仿宋"/>
                <w:b/>
              </w:rPr>
              <w:t>、季节性施工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冬季严寒天气施工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冻伤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制定暑期、冬季施工方案、应急方案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落实方案</w:t>
            </w:r>
          </w:p>
        </w:tc>
        <w:tc>
          <w:tcPr>
            <w:tcW w:w="102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方案交底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应急培训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手套、防滑鞋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未及时清扫积雪、无防滑措施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跌伤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落实方案</w:t>
            </w: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手套、防滑鞋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无卫生保健措施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中暑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落实方案</w:t>
            </w: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急救药箱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高温条件下施工作业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中暑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落实方案</w:t>
            </w: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仁丹、清凉油等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四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、生活区域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宿舍卫生状况差，无挡鼠板、防苍蝇措施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传染病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开水、饮水器具不卫生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传染病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定期消毒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食堂没有卫生许可证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中毒/传染病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制定食品卫生制度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办理卫生许可证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误食亚硝酸盐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中毒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厨房内外不卫生、炊具不干净，有腐料变质食品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食物中毒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食堂使用无资质厂家生产的气瓶、灶具、胶管、减压器等液化石油气设备设施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爆炸、火灾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按规定检查把关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加工、保管生熟食品未分开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食物中毒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专柜放置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张贴制度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口罩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卫生帽</w:t>
            </w:r>
          </w:p>
        </w:tc>
        <w:tc>
          <w:tcPr>
            <w:tcW w:w="1095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left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施工员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安全员、班组长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8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炊事人员没有办理健康证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传染病</w:t>
            </w:r>
          </w:p>
        </w:tc>
        <w:tc>
          <w:tcPr>
            <w:tcW w:w="660" w:type="dxa"/>
            <w:shd w:val="clear" w:color="auto" w:fill="FFFF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3</w:t>
            </w:r>
          </w:p>
        </w:tc>
        <w:tc>
          <w:tcPr>
            <w:tcW w:w="1004" w:type="dxa"/>
            <w:vAlign w:val="top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both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按规定办理健康证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口罩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卫生帽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定期体检</w:t>
            </w:r>
          </w:p>
        </w:tc>
        <w:tc>
          <w:tcPr>
            <w:tcW w:w="1110" w:type="dxa"/>
            <w:vAlign w:val="top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color w:val="000000"/>
                <w:kern w:val="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项目部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分包单位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分包负责人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9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电动车无集中充电处，进屋充电、飞线充电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爆炸、火灾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1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制定管理制度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建立室外集中充电、停放场所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危险告知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灭火器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应急处置</w:t>
            </w:r>
          </w:p>
        </w:tc>
        <w:tc>
          <w:tcPr>
            <w:tcW w:w="11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Align w:val="top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安全员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restart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五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、办公场所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复印机废粉、排放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职业病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restart"/>
          </w:tcPr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执行公司职业健康安全管理程序文件</w:t>
            </w:r>
          </w:p>
        </w:tc>
        <w:tc>
          <w:tcPr>
            <w:tcW w:w="120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按照程序文件要求检查把关</w:t>
            </w:r>
          </w:p>
        </w:tc>
        <w:tc>
          <w:tcPr>
            <w:tcW w:w="1028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作业指导书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  <w:vMerge w:val="restart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项目全体管理人员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2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擦玻璃时注意坠落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高处坠落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3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拖地时地面有积水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跌伤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4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在办公室内吸烟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5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下班离开办公室未断电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火灾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6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电脑光辐射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职业病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7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复印机光辐射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职业病</w:t>
            </w:r>
          </w:p>
        </w:tc>
        <w:tc>
          <w:tcPr>
            <w:tcW w:w="660" w:type="dxa"/>
            <w:shd w:val="clear" w:color="auto" w:fill="00B0F0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</w:rPr>
              <w:t>4</w:t>
            </w:r>
          </w:p>
        </w:tc>
        <w:tc>
          <w:tcPr>
            <w:tcW w:w="1004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20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028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/</w:t>
            </w:r>
          </w:p>
        </w:tc>
        <w:tc>
          <w:tcPr>
            <w:tcW w:w="11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1710" w:type="dxa"/>
            <w:vMerge w:val="continue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" w:type="dxa"/>
          </w:tcPr>
          <w:p>
            <w:pPr>
              <w:pStyle w:val="20"/>
              <w:numPr>
                <w:ilvl w:val="0"/>
                <w:numId w:val="1"/>
              </w:numPr>
              <w:spacing w:line="220" w:lineRule="exact"/>
              <w:ind w:left="0" w:firstLine="0" w:firstLineChars="0"/>
              <w:jc w:val="center"/>
              <w:rPr>
                <w:rFonts w:ascii="仿宋" w:hAnsi="仿宋" w:eastAsia="仿宋" w:cs="仿宋"/>
                <w:bCs/>
              </w:rPr>
            </w:pPr>
          </w:p>
        </w:tc>
        <w:tc>
          <w:tcPr>
            <w:tcW w:w="705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二十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eastAsia="zh-CN" w:bidi="ar"/>
              </w:rPr>
              <w:t>六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lang w:bidi="ar"/>
              </w:rPr>
              <w:t>、其他</w:t>
            </w:r>
          </w:p>
        </w:tc>
        <w:tc>
          <w:tcPr>
            <w:tcW w:w="570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1</w:t>
            </w:r>
          </w:p>
        </w:tc>
        <w:tc>
          <w:tcPr>
            <w:tcW w:w="2685" w:type="dxa"/>
            <w:vAlign w:val="center"/>
          </w:tcPr>
          <w:p>
            <w:pPr>
              <w:widowControl/>
              <w:spacing w:line="220" w:lineRule="exact"/>
              <w:jc w:val="left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新冠疫情</w:t>
            </w:r>
          </w:p>
        </w:tc>
        <w:tc>
          <w:tcPr>
            <w:tcW w:w="1425" w:type="dxa"/>
            <w:vAlign w:val="center"/>
          </w:tcPr>
          <w:p>
            <w:pPr>
              <w:widowControl/>
              <w:spacing w:line="220" w:lineRule="exact"/>
              <w:jc w:val="center"/>
              <w:textAlignment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lang w:bidi="ar"/>
              </w:rPr>
              <w:t>传染病</w:t>
            </w:r>
          </w:p>
        </w:tc>
        <w:tc>
          <w:tcPr>
            <w:tcW w:w="660" w:type="dxa"/>
            <w:shd w:val="clear" w:color="auto" w:fill="FF0000"/>
            <w:vAlign w:val="center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  <w:r>
              <w:rPr>
                <w:rFonts w:hint="eastAsia" w:ascii="仿宋" w:hAnsi="仿宋" w:eastAsia="仿宋" w:cs="仿宋"/>
                <w:bCs/>
              </w:rPr>
              <w:t>1</w:t>
            </w:r>
          </w:p>
        </w:tc>
        <w:tc>
          <w:tcPr>
            <w:tcW w:w="1004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制定管控方案、应急预案</w:t>
            </w:r>
          </w:p>
        </w:tc>
        <w:tc>
          <w:tcPr>
            <w:tcW w:w="120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体温检测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环境消杀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疫苗接种</w:t>
            </w:r>
          </w:p>
        </w:tc>
        <w:tc>
          <w:tcPr>
            <w:tcW w:w="1028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专项教育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疫情防控宣传画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正确佩戴口罩</w:t>
            </w:r>
          </w:p>
        </w:tc>
        <w:tc>
          <w:tcPr>
            <w:tcW w:w="1095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隔离室</w:t>
            </w:r>
          </w:p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lang w:eastAsia="zh-CN"/>
              </w:rPr>
              <w:t>应急</w:t>
            </w:r>
          </w:p>
        </w:tc>
        <w:tc>
          <w:tcPr>
            <w:tcW w:w="11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公司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项目部</w:t>
            </w:r>
          </w:p>
        </w:tc>
        <w:tc>
          <w:tcPr>
            <w:tcW w:w="1710" w:type="dxa"/>
          </w:tcPr>
          <w:p>
            <w:pPr>
              <w:spacing w:line="220" w:lineRule="exact"/>
              <w:jc w:val="center"/>
              <w:rPr>
                <w:rFonts w:hint="eastAsia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项目经理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孙建钟</w:t>
            </w:r>
          </w:p>
          <w:p>
            <w:pPr>
              <w:spacing w:line="220" w:lineRule="exact"/>
              <w:jc w:val="center"/>
              <w:rPr>
                <w:rFonts w:hint="default" w:ascii="仿宋" w:hAnsi="仿宋" w:eastAsia="仿宋" w:cs="仿宋"/>
                <w:bCs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lang w:val="en-US" w:eastAsia="zh-CN"/>
              </w:rPr>
              <w:t>防疫专员</w:t>
            </w:r>
          </w:p>
        </w:tc>
        <w:tc>
          <w:tcPr>
            <w:tcW w:w="660" w:type="dxa"/>
          </w:tcPr>
          <w:p>
            <w:pPr>
              <w:spacing w:line="220" w:lineRule="exact"/>
              <w:jc w:val="center"/>
              <w:rPr>
                <w:rFonts w:ascii="仿宋" w:hAnsi="仿宋" w:eastAsia="仿宋" w:cs="仿宋"/>
                <w:bCs/>
              </w:rPr>
            </w:pPr>
          </w:p>
        </w:tc>
      </w:tr>
    </w:tbl>
    <w:p>
      <w:pPr>
        <w:widowControl/>
        <w:jc w:val="center"/>
        <w:outlineLvl w:val="0"/>
        <w:rPr>
          <w:rFonts w:ascii="宋体" w:hAnsi="宋体"/>
          <w:b/>
          <w:bCs/>
          <w:color w:val="000000"/>
          <w:kern w:val="0"/>
          <w:sz w:val="28"/>
          <w:szCs w:val="28"/>
        </w:rPr>
      </w:pPr>
    </w:p>
    <w:p>
      <w:pPr>
        <w:rPr>
          <w:b/>
          <w:sz w:val="32"/>
          <w:szCs w:val="32"/>
        </w:rPr>
        <w:sectPr>
          <w:pgSz w:w="16838" w:h="11906" w:orient="landscape"/>
          <w:pgMar w:top="1797" w:right="1440" w:bottom="1797" w:left="1440" w:header="851" w:footer="992" w:gutter="0"/>
          <w:cols w:space="425" w:num="1"/>
          <w:docGrid w:type="linesAndChars" w:linePitch="312" w:charSpace="0"/>
        </w:sectPr>
      </w:pPr>
    </w:p>
    <w:p>
      <w:pPr>
        <w:spacing w:line="0" w:lineRule="atLeast"/>
        <w:rPr>
          <w:rFonts w:ascii="宋体" w:hAnsi="宋体"/>
          <w:b/>
          <w:bCs/>
          <w:color w:val="000000"/>
          <w:kern w:val="0"/>
          <w:sz w:val="32"/>
          <w:szCs w:val="32"/>
        </w:rPr>
      </w:pPr>
    </w:p>
    <w:sectPr>
      <w:pgSz w:w="16838" w:h="11906" w:orient="landscape"/>
      <w:pgMar w:top="1627" w:right="703" w:bottom="1627" w:left="703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B85B67"/>
    <w:multiLevelType w:val="multilevel"/>
    <w:tmpl w:val="37B85B67"/>
    <w:lvl w:ilvl="0" w:tentative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5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56C"/>
    <w:rsid w:val="000451D0"/>
    <w:rsid w:val="001757C5"/>
    <w:rsid w:val="0029689A"/>
    <w:rsid w:val="002B730B"/>
    <w:rsid w:val="002C3AD0"/>
    <w:rsid w:val="002E55DC"/>
    <w:rsid w:val="0035273E"/>
    <w:rsid w:val="0040056C"/>
    <w:rsid w:val="00402451"/>
    <w:rsid w:val="00430C36"/>
    <w:rsid w:val="00443B3A"/>
    <w:rsid w:val="004C2A90"/>
    <w:rsid w:val="005C4C83"/>
    <w:rsid w:val="00756E13"/>
    <w:rsid w:val="00834EBD"/>
    <w:rsid w:val="00AC516D"/>
    <w:rsid w:val="00AE70B0"/>
    <w:rsid w:val="00C06EB1"/>
    <w:rsid w:val="00C6292B"/>
    <w:rsid w:val="00C80E2C"/>
    <w:rsid w:val="00D41777"/>
    <w:rsid w:val="00DE6435"/>
    <w:rsid w:val="00EB21DB"/>
    <w:rsid w:val="00F226DE"/>
    <w:rsid w:val="00F22A74"/>
    <w:rsid w:val="00F673F9"/>
    <w:rsid w:val="00F963A2"/>
    <w:rsid w:val="00FD65F1"/>
    <w:rsid w:val="02B45873"/>
    <w:rsid w:val="03212322"/>
    <w:rsid w:val="047113EF"/>
    <w:rsid w:val="054B10C0"/>
    <w:rsid w:val="056C21C8"/>
    <w:rsid w:val="06B6349D"/>
    <w:rsid w:val="07013CDC"/>
    <w:rsid w:val="07DA0063"/>
    <w:rsid w:val="08F157EE"/>
    <w:rsid w:val="09E518F1"/>
    <w:rsid w:val="0A0A1357"/>
    <w:rsid w:val="0A76591B"/>
    <w:rsid w:val="0AEB55C7"/>
    <w:rsid w:val="0CAA4CE7"/>
    <w:rsid w:val="0E643F61"/>
    <w:rsid w:val="0E9E0A53"/>
    <w:rsid w:val="12E4798B"/>
    <w:rsid w:val="134A77BF"/>
    <w:rsid w:val="13CC5D99"/>
    <w:rsid w:val="140605B4"/>
    <w:rsid w:val="16DC5D23"/>
    <w:rsid w:val="18B00125"/>
    <w:rsid w:val="1AA85D36"/>
    <w:rsid w:val="1B8653B5"/>
    <w:rsid w:val="1BBC061B"/>
    <w:rsid w:val="1BCD199D"/>
    <w:rsid w:val="1BFB31F6"/>
    <w:rsid w:val="1DC87107"/>
    <w:rsid w:val="1DF70B2D"/>
    <w:rsid w:val="1E087E4C"/>
    <w:rsid w:val="1E67253A"/>
    <w:rsid w:val="1EFD07A4"/>
    <w:rsid w:val="1FC26A35"/>
    <w:rsid w:val="205C6825"/>
    <w:rsid w:val="210B368F"/>
    <w:rsid w:val="212A32C7"/>
    <w:rsid w:val="24973C21"/>
    <w:rsid w:val="259C009E"/>
    <w:rsid w:val="27D34AE1"/>
    <w:rsid w:val="2B764FA0"/>
    <w:rsid w:val="2BB07A30"/>
    <w:rsid w:val="2C1840EA"/>
    <w:rsid w:val="2C514564"/>
    <w:rsid w:val="2D10020B"/>
    <w:rsid w:val="2DE7182C"/>
    <w:rsid w:val="2DFF6B75"/>
    <w:rsid w:val="2EEB0EA8"/>
    <w:rsid w:val="2F336445"/>
    <w:rsid w:val="2FEA550D"/>
    <w:rsid w:val="30CC7F0C"/>
    <w:rsid w:val="310049F8"/>
    <w:rsid w:val="3106646D"/>
    <w:rsid w:val="31E16592"/>
    <w:rsid w:val="325A4A53"/>
    <w:rsid w:val="32CA4F13"/>
    <w:rsid w:val="340E23AE"/>
    <w:rsid w:val="347E1CA0"/>
    <w:rsid w:val="34E66DE4"/>
    <w:rsid w:val="35370D35"/>
    <w:rsid w:val="35F771E8"/>
    <w:rsid w:val="35FD2925"/>
    <w:rsid w:val="36E42B9E"/>
    <w:rsid w:val="379634E3"/>
    <w:rsid w:val="37B409D1"/>
    <w:rsid w:val="3A8E7FE2"/>
    <w:rsid w:val="3C60131B"/>
    <w:rsid w:val="3FD53799"/>
    <w:rsid w:val="400B425F"/>
    <w:rsid w:val="402B62DA"/>
    <w:rsid w:val="40C26678"/>
    <w:rsid w:val="4243332E"/>
    <w:rsid w:val="448D4A83"/>
    <w:rsid w:val="485E73D5"/>
    <w:rsid w:val="4A197FDB"/>
    <w:rsid w:val="4A2E3471"/>
    <w:rsid w:val="4A5971B6"/>
    <w:rsid w:val="4BC52D55"/>
    <w:rsid w:val="4ED66488"/>
    <w:rsid w:val="506E2C19"/>
    <w:rsid w:val="510D4000"/>
    <w:rsid w:val="515B7805"/>
    <w:rsid w:val="53552DF1"/>
    <w:rsid w:val="54F21CA7"/>
    <w:rsid w:val="56B97FDB"/>
    <w:rsid w:val="574B41BE"/>
    <w:rsid w:val="575516E1"/>
    <w:rsid w:val="577D5B45"/>
    <w:rsid w:val="582E7771"/>
    <w:rsid w:val="58E30CBE"/>
    <w:rsid w:val="59BF51BE"/>
    <w:rsid w:val="59DA281A"/>
    <w:rsid w:val="5ABE150D"/>
    <w:rsid w:val="5BC80289"/>
    <w:rsid w:val="5D042932"/>
    <w:rsid w:val="5D150E9F"/>
    <w:rsid w:val="5D756F66"/>
    <w:rsid w:val="667F298E"/>
    <w:rsid w:val="67960A1A"/>
    <w:rsid w:val="67E677A7"/>
    <w:rsid w:val="6CDB4A0E"/>
    <w:rsid w:val="6E82642B"/>
    <w:rsid w:val="703E3071"/>
    <w:rsid w:val="710A268A"/>
    <w:rsid w:val="73AF34CA"/>
    <w:rsid w:val="759F1494"/>
    <w:rsid w:val="76181A30"/>
    <w:rsid w:val="76256496"/>
    <w:rsid w:val="775839C8"/>
    <w:rsid w:val="798548F4"/>
    <w:rsid w:val="7A4E01FC"/>
    <w:rsid w:val="7BEC5C80"/>
    <w:rsid w:val="7D41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unhideWhenUsed/>
    <w:qFormat/>
    <w:uiPriority w:val="9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2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9">
    <w:name w:val="网格型1"/>
    <w:basedOn w:val="5"/>
    <w:unhideWhenUsed/>
    <w:qFormat/>
    <w:uiPriority w:val="99"/>
    <w:pPr>
      <w:widowControl w:val="0"/>
      <w:jc w:val="both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附录表标题"/>
    <w:basedOn w:val="1"/>
    <w:next w:val="11"/>
    <w:qFormat/>
    <w:uiPriority w:val="0"/>
    <w:pPr>
      <w:spacing w:beforeLines="50" w:afterLines="50"/>
      <w:jc w:val="center"/>
    </w:pPr>
    <w:rPr>
      <w:rFonts w:ascii="黑体" w:eastAsia="黑体"/>
    </w:rPr>
  </w:style>
  <w:style w:type="paragraph" w:customStyle="1" w:styleId="11">
    <w:name w:val="段"/>
    <w:basedOn w:val="1"/>
    <w:qFormat/>
    <w:uiPriority w:val="0"/>
    <w:pPr>
      <w:widowControl/>
      <w:autoSpaceDE w:val="0"/>
      <w:autoSpaceDN w:val="0"/>
      <w:ind w:firstLine="420" w:firstLineChars="200"/>
    </w:pPr>
    <w:rPr>
      <w:rFonts w:ascii="宋体"/>
      <w:kern w:val="0"/>
    </w:rPr>
  </w:style>
  <w:style w:type="paragraph" w:customStyle="1" w:styleId="12">
    <w:name w:val="附录章标题"/>
    <w:basedOn w:val="1"/>
    <w:next w:val="11"/>
    <w:qFormat/>
    <w:uiPriority w:val="0"/>
    <w:pPr>
      <w:widowControl/>
      <w:wordWrap w:val="0"/>
      <w:overflowPunct w:val="0"/>
      <w:spacing w:beforeLines="100" w:afterLines="100"/>
      <w:textAlignment w:val="baseline"/>
      <w:outlineLvl w:val="1"/>
    </w:pPr>
    <w:rPr>
      <w:rFonts w:ascii="黑体" w:eastAsia="黑体"/>
      <w:kern w:val="21"/>
    </w:rPr>
  </w:style>
  <w:style w:type="character" w:customStyle="1" w:styleId="13">
    <w:name w:val="font3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">
    <w:name w:val="font0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81"/>
    <w:basedOn w:val="7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6">
    <w:name w:val="font91"/>
    <w:basedOn w:val="7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7">
    <w:name w:val="font41"/>
    <w:basedOn w:val="7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8">
    <w:name w:val="font1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9">
    <w:name w:val="font71"/>
    <w:basedOn w:val="7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character" w:customStyle="1" w:styleId="21">
    <w:name w:val="font141"/>
    <w:basedOn w:val="7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15239</Words>
  <Characters>15321</Characters>
  <Lines>215</Lines>
  <Paragraphs>60</Paragraphs>
  <TotalTime>14</TotalTime>
  <ScaleCrop>false</ScaleCrop>
  <LinksUpToDate>false</LinksUpToDate>
  <CharactersWithSpaces>15335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2020-12-17T01:16:00Z</dcterms:created>
  <dc:creator>86136</dc:creator>
  <cp:lastModifiedBy>孙建钟</cp:lastModifiedBy>
  <cp:lastPrinted>2022-02-18T01:53:00Z</cp:lastPrinted>
  <dcterms:modified xsi:type="dcterms:W3CDTF">2022-04-24T02:08:38Z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0A567B5311AB4F1EB51D654B7CB70906</vt:lpwstr>
  </property>
  <property fmtid="{D5CDD505-2E9C-101B-9397-08002B2CF9AE}" pid="4" name="commondata">
    <vt:lpwstr>eyJoZGlkIjoiMTJiNDI2MTQ2MzA2NDJkOTBhYzI4MjRhMTA2MGY5NjgifQ==</vt:lpwstr>
  </property>
</Properties>
</file>