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9000" w:type="dxa"/>
        <w:jc w:val="center"/>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Layout w:type="fixed"/>
        <w:tblCellMar>
          <w:top w:w="57" w:type="dxa"/>
          <w:left w:w="28" w:type="dxa"/>
          <w:bottom w:w="57" w:type="dxa"/>
          <w:right w:w="28" w:type="dxa"/>
        </w:tblCellMar>
      </w:tblPr>
      <w:tblGrid>
        <w:gridCol w:w="1370"/>
        <w:gridCol w:w="164"/>
        <w:gridCol w:w="1381"/>
        <w:gridCol w:w="360"/>
        <w:gridCol w:w="980"/>
        <w:gridCol w:w="394"/>
        <w:gridCol w:w="1060"/>
        <w:gridCol w:w="838"/>
        <w:gridCol w:w="598"/>
        <w:gridCol w:w="1855"/>
      </w:tblGrid>
      <w:tr w14:paraId="3455295B">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90" w:hRule="atLeast"/>
          <w:jc w:val="center"/>
        </w:trPr>
        <w:tc>
          <w:tcPr>
            <w:tcW w:w="6547" w:type="dxa"/>
            <w:gridSpan w:val="8"/>
            <w:shd w:val="clear" w:color="FFFFCC" w:fill="FFFFFF"/>
            <w:vAlign w:val="center"/>
          </w:tcPr>
          <w:p w14:paraId="1F9C13EA">
            <w:pPr>
              <w:snapToGrid w:val="0"/>
              <w:jc w:val="center"/>
              <w:rPr>
                <w:rFonts w:hAnsi="黑体" w:eastAsia="黑体"/>
                <w:kern w:val="0"/>
                <w:sz w:val="32"/>
                <w:szCs w:val="32"/>
              </w:rPr>
            </w:pPr>
            <w:r>
              <w:rPr>
                <w:rFonts w:hAnsi="黑体" w:eastAsia="黑体"/>
                <w:kern w:val="0"/>
                <w:sz w:val="32"/>
                <w:szCs w:val="32"/>
              </w:rPr>
              <w:br w:type="page"/>
            </w:r>
            <w:r>
              <w:rPr>
                <w:rFonts w:hint="eastAsia" w:hAnsi="黑体" w:eastAsia="黑体"/>
                <w:kern w:val="0"/>
                <w:sz w:val="32"/>
                <w:szCs w:val="32"/>
              </w:rPr>
              <w:t>安全技术交底表</w:t>
            </w:r>
          </w:p>
          <w:p w14:paraId="61FAB045">
            <w:pPr>
              <w:snapToGrid w:val="0"/>
              <w:jc w:val="center"/>
              <w:rPr>
                <w:rFonts w:hAnsi="黑体" w:eastAsia="黑体"/>
                <w:kern w:val="0"/>
                <w:sz w:val="18"/>
                <w:szCs w:val="18"/>
              </w:rPr>
            </w:pPr>
          </w:p>
        </w:tc>
        <w:tc>
          <w:tcPr>
            <w:tcW w:w="598" w:type="dxa"/>
            <w:shd w:val="clear" w:color="FFFFCC" w:fill="FFFFFF"/>
            <w:vAlign w:val="center"/>
          </w:tcPr>
          <w:p w14:paraId="05BF2BD0">
            <w:pPr>
              <w:snapToGrid w:val="0"/>
              <w:jc w:val="center"/>
              <w:rPr>
                <w:rFonts w:asciiTheme="minorEastAsia" w:hAnsiTheme="minorEastAsia" w:eastAsiaTheme="minorEastAsia"/>
                <w:kern w:val="0"/>
                <w:sz w:val="15"/>
                <w:szCs w:val="15"/>
              </w:rPr>
            </w:pPr>
            <w:r>
              <w:rPr>
                <w:rFonts w:hint="eastAsia" w:cs="宋体" w:asciiTheme="minorEastAsia" w:hAnsiTheme="minorEastAsia" w:eastAsiaTheme="minorEastAsia"/>
                <w:kern w:val="0"/>
                <w:sz w:val="24"/>
                <w:szCs w:val="24"/>
              </w:rPr>
              <w:t>编号</w:t>
            </w:r>
          </w:p>
        </w:tc>
        <w:tc>
          <w:tcPr>
            <w:tcW w:w="1855" w:type="dxa"/>
            <w:shd w:val="clear" w:color="FFFFCC" w:fill="FFFFFF"/>
            <w:vAlign w:val="center"/>
          </w:tcPr>
          <w:p w14:paraId="344C5281">
            <w:pPr>
              <w:snapToGrid w:val="0"/>
              <w:jc w:val="center"/>
              <w:rPr>
                <w:rFonts w:asciiTheme="minorEastAsia" w:hAnsiTheme="minorEastAsia" w:eastAsiaTheme="minorEastAsia"/>
                <w:bCs/>
                <w:kern w:val="0"/>
                <w:sz w:val="15"/>
                <w:szCs w:val="15"/>
              </w:rPr>
            </w:pPr>
            <w:r>
              <w:rPr>
                <w:rFonts w:hint="eastAsia" w:cs="宋体" w:asciiTheme="minorEastAsia" w:hAnsiTheme="minorEastAsia" w:eastAsiaTheme="minorEastAsia"/>
                <w:bCs/>
                <w:kern w:val="0"/>
                <w:sz w:val="15"/>
                <w:szCs w:val="15"/>
              </w:rPr>
              <w:t>　</w:t>
            </w:r>
          </w:p>
        </w:tc>
      </w:tr>
      <w:tr w14:paraId="4D31A04F">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90" w:hRule="atLeast"/>
          <w:jc w:val="center"/>
        </w:trPr>
        <w:tc>
          <w:tcPr>
            <w:tcW w:w="1370" w:type="dxa"/>
            <w:shd w:val="clear" w:color="FFFFCC" w:fill="FFFFFF"/>
            <w:vAlign w:val="center"/>
          </w:tcPr>
          <w:p w14:paraId="7034B056">
            <w:pPr>
              <w:snapToGrid w:val="0"/>
              <w:jc w:val="center"/>
              <w:rPr>
                <w:rFonts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工程名称</w:t>
            </w:r>
          </w:p>
        </w:tc>
        <w:tc>
          <w:tcPr>
            <w:tcW w:w="7630" w:type="dxa"/>
            <w:gridSpan w:val="9"/>
            <w:vAlign w:val="bottom"/>
          </w:tcPr>
          <w:p w14:paraId="374068E7">
            <w:pPr>
              <w:snapToGrid w:val="0"/>
              <w:jc w:val="left"/>
              <w:rPr>
                <w:rFonts w:hint="eastAsia" w:asciiTheme="minorEastAsia" w:hAnsiTheme="minorEastAsia" w:eastAsiaTheme="minorEastAsia"/>
                <w:kern w:val="0"/>
                <w:sz w:val="24"/>
                <w:szCs w:val="24"/>
                <w:lang w:eastAsia="zh-CN"/>
              </w:rPr>
            </w:pPr>
            <w:r>
              <w:rPr>
                <w:rFonts w:hint="eastAsia" w:cs="宋体" w:asciiTheme="minorEastAsia" w:hAnsiTheme="minorEastAsia" w:eastAsiaTheme="minorEastAsia"/>
                <w:kern w:val="0"/>
                <w:sz w:val="24"/>
                <w:szCs w:val="24"/>
              </w:rPr>
              <w:t>　</w:t>
            </w:r>
            <w:r>
              <w:rPr>
                <w:rFonts w:hint="eastAsia" w:cs="宋体" w:asciiTheme="minorEastAsia" w:hAnsiTheme="minorEastAsia" w:eastAsiaTheme="minorEastAsia"/>
                <w:kern w:val="0"/>
                <w:sz w:val="24"/>
                <w:szCs w:val="24"/>
                <w:highlight w:val="yellow"/>
                <w:lang w:val="en-US" w:eastAsia="zh-CN"/>
              </w:rPr>
              <w:t>XX</w:t>
            </w:r>
            <w:r>
              <w:rPr>
                <w:rFonts w:hint="eastAsia" w:cs="宋体" w:asciiTheme="minorEastAsia" w:hAnsiTheme="minorEastAsia" w:eastAsiaTheme="minorEastAsia"/>
                <w:kern w:val="0"/>
                <w:sz w:val="24"/>
                <w:szCs w:val="24"/>
                <w:highlight w:val="yellow"/>
                <w:lang w:eastAsia="zh-CN"/>
              </w:rPr>
              <w:t>工程</w:t>
            </w:r>
          </w:p>
        </w:tc>
      </w:tr>
      <w:tr w14:paraId="26FE89AA">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90" w:hRule="atLeast"/>
          <w:jc w:val="center"/>
        </w:trPr>
        <w:tc>
          <w:tcPr>
            <w:tcW w:w="1370" w:type="dxa"/>
            <w:shd w:val="clear" w:color="FFFFCC" w:fill="FFFFFF"/>
            <w:vAlign w:val="center"/>
          </w:tcPr>
          <w:p w14:paraId="0A1FCB19">
            <w:pPr>
              <w:snapToGrid w:val="0"/>
              <w:jc w:val="center"/>
              <w:rPr>
                <w:rFonts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施工单位</w:t>
            </w:r>
          </w:p>
        </w:tc>
        <w:tc>
          <w:tcPr>
            <w:tcW w:w="1905" w:type="dxa"/>
            <w:gridSpan w:val="3"/>
            <w:vAlign w:val="center"/>
          </w:tcPr>
          <w:p w14:paraId="0EC56897">
            <w:pPr>
              <w:snapToGrid w:val="0"/>
              <w:jc w:val="center"/>
              <w:rPr>
                <w:rFonts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lang w:val="en-US" w:eastAsia="zh-CN"/>
              </w:rPr>
              <w:t>云南机场建设发展</w:t>
            </w:r>
            <w:r>
              <w:rPr>
                <w:rFonts w:hint="eastAsia" w:cs="宋体" w:asciiTheme="minorEastAsia" w:hAnsiTheme="minorEastAsia" w:eastAsiaTheme="minorEastAsia"/>
                <w:kern w:val="0"/>
                <w:sz w:val="24"/>
                <w:szCs w:val="24"/>
                <w:lang w:eastAsia="zh-CN"/>
              </w:rPr>
              <w:t>有限公司</w:t>
            </w:r>
            <w:r>
              <w:rPr>
                <w:rFonts w:hint="eastAsia" w:cs="宋体" w:asciiTheme="minorEastAsia" w:hAnsiTheme="minorEastAsia" w:eastAsiaTheme="minorEastAsia"/>
                <w:kern w:val="0"/>
                <w:sz w:val="24"/>
                <w:szCs w:val="24"/>
              </w:rPr>
              <w:t>　</w:t>
            </w:r>
          </w:p>
        </w:tc>
        <w:tc>
          <w:tcPr>
            <w:tcW w:w="1374" w:type="dxa"/>
            <w:gridSpan w:val="2"/>
            <w:shd w:val="clear" w:color="FFFFCC" w:fill="FFFFFF"/>
            <w:vAlign w:val="center"/>
          </w:tcPr>
          <w:p w14:paraId="0DE90862">
            <w:pPr>
              <w:snapToGrid w:val="0"/>
              <w:jc w:val="center"/>
              <w:rPr>
                <w:rFonts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交底部位</w:t>
            </w:r>
          </w:p>
        </w:tc>
        <w:tc>
          <w:tcPr>
            <w:tcW w:w="1898" w:type="dxa"/>
            <w:gridSpan w:val="2"/>
            <w:vAlign w:val="center"/>
          </w:tcPr>
          <w:p w14:paraId="52CC8154">
            <w:pPr>
              <w:snapToGrid w:val="0"/>
              <w:jc w:val="center"/>
              <w:rPr>
                <w:rFonts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lang w:eastAsia="zh-CN"/>
              </w:rPr>
              <w:t>空防安全</w:t>
            </w:r>
            <w:r>
              <w:rPr>
                <w:rFonts w:hint="eastAsia" w:cs="宋体" w:asciiTheme="minorEastAsia" w:hAnsiTheme="minorEastAsia" w:eastAsiaTheme="minorEastAsia"/>
                <w:kern w:val="0"/>
                <w:sz w:val="24"/>
                <w:szCs w:val="24"/>
              </w:rPr>
              <w:t>　</w:t>
            </w:r>
          </w:p>
        </w:tc>
        <w:tc>
          <w:tcPr>
            <w:tcW w:w="598" w:type="dxa"/>
            <w:shd w:val="clear" w:color="FFFFCC" w:fill="FFFFFF"/>
            <w:vAlign w:val="center"/>
          </w:tcPr>
          <w:p w14:paraId="06099C4B">
            <w:pPr>
              <w:snapToGrid w:val="0"/>
              <w:jc w:val="center"/>
              <w:rPr>
                <w:rFonts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工种</w:t>
            </w:r>
          </w:p>
        </w:tc>
        <w:tc>
          <w:tcPr>
            <w:tcW w:w="1855" w:type="dxa"/>
            <w:vAlign w:val="center"/>
          </w:tcPr>
          <w:p w14:paraId="35BF1287">
            <w:pPr>
              <w:snapToGrid w:val="0"/>
              <w:jc w:val="center"/>
              <w:rPr>
                <w:rFonts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lang w:eastAsia="zh-CN"/>
              </w:rPr>
              <w:t>各工种（含机动车驾驶员）　</w:t>
            </w:r>
          </w:p>
        </w:tc>
      </w:tr>
      <w:tr w14:paraId="0BC00A16">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90" w:hRule="atLeast"/>
          <w:jc w:val="center"/>
        </w:trPr>
        <w:tc>
          <w:tcPr>
            <w:tcW w:w="9000" w:type="dxa"/>
            <w:gridSpan w:val="10"/>
            <w:shd w:val="clear" w:color="FFFFCC" w:fill="FFFFFF"/>
          </w:tcPr>
          <w:p w14:paraId="2DBC3B95">
            <w:pPr>
              <w:snapToGrid w:val="0"/>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安全技术交底内容：</w:t>
            </w:r>
          </w:p>
          <w:p w14:paraId="61C5605C">
            <w:pPr>
              <w:spacing w:line="400" w:lineRule="exact"/>
              <w:rPr>
                <w:rFonts w:ascii="宋体" w:hAnsi="宋体"/>
                <w:sz w:val="24"/>
              </w:rPr>
            </w:pPr>
            <w:r>
              <w:rPr>
                <w:rFonts w:hint="eastAsia" w:ascii="宋体" w:hAnsi="宋体"/>
                <w:sz w:val="24"/>
              </w:rPr>
              <w:t>（一）现场安全要求：</w:t>
            </w:r>
          </w:p>
          <w:p w14:paraId="18F27E07">
            <w:pPr>
              <w:spacing w:line="400" w:lineRule="exact"/>
              <w:rPr>
                <w:rFonts w:ascii="宋体" w:hAnsi="宋体"/>
                <w:sz w:val="24"/>
              </w:rPr>
            </w:pPr>
            <w:r>
              <w:rPr>
                <w:rFonts w:hint="eastAsia" w:ascii="宋体" w:hAnsi="宋体"/>
                <w:sz w:val="24"/>
              </w:rPr>
              <w:t>1.进入现场所有工作人员施工人员必须进行安全教育培训，经安全知识考试合格后方可上岗。</w:t>
            </w:r>
          </w:p>
          <w:p w14:paraId="0EF94113">
            <w:pPr>
              <w:spacing w:line="400" w:lineRule="exact"/>
              <w:rPr>
                <w:rFonts w:ascii="宋体" w:hAnsi="宋体"/>
                <w:sz w:val="24"/>
              </w:rPr>
            </w:pPr>
            <w:r>
              <w:rPr>
                <w:rFonts w:hint="eastAsia" w:ascii="宋体" w:hAnsi="宋体"/>
                <w:sz w:val="24"/>
              </w:rPr>
              <w:t>2.作业时认真执行操作规程，杜绝违章作业和野蛮施工。</w:t>
            </w:r>
          </w:p>
          <w:p w14:paraId="28EC38EA">
            <w:pPr>
              <w:spacing w:line="400" w:lineRule="exact"/>
              <w:rPr>
                <w:rFonts w:ascii="宋体" w:hAnsi="宋体"/>
                <w:sz w:val="24"/>
              </w:rPr>
            </w:pPr>
            <w:r>
              <w:rPr>
                <w:rFonts w:hint="eastAsia" w:ascii="宋体" w:hAnsi="宋体"/>
                <w:sz w:val="24"/>
              </w:rPr>
              <w:t>3.严禁酒后上岗作业，严禁携带香烟、火柴、打火机、零食以及其他易燃易爆物品进场。</w:t>
            </w:r>
          </w:p>
          <w:p w14:paraId="480EC930">
            <w:pPr>
              <w:spacing w:line="400" w:lineRule="exact"/>
              <w:rPr>
                <w:rFonts w:ascii="宋体" w:hAnsi="宋体"/>
                <w:sz w:val="24"/>
              </w:rPr>
            </w:pPr>
            <w:r>
              <w:rPr>
                <w:rFonts w:hint="eastAsia" w:ascii="宋体" w:hAnsi="宋体"/>
                <w:sz w:val="24"/>
              </w:rPr>
              <w:t>4.禁止私自拆改防护设备；施工现场禁止追逐打闹。</w:t>
            </w:r>
          </w:p>
          <w:p w14:paraId="30D51142">
            <w:pPr>
              <w:spacing w:line="400" w:lineRule="exact"/>
              <w:rPr>
                <w:rFonts w:ascii="宋体" w:hAnsi="宋体"/>
                <w:sz w:val="24"/>
              </w:rPr>
            </w:pPr>
            <w:r>
              <w:rPr>
                <w:rFonts w:hint="eastAsia" w:ascii="宋体" w:hAnsi="宋体"/>
                <w:sz w:val="24"/>
              </w:rPr>
              <w:t>5.禁止操作与自己无关的机械设备。</w:t>
            </w:r>
          </w:p>
          <w:p w14:paraId="099290D8">
            <w:pPr>
              <w:tabs>
                <w:tab w:val="left" w:pos="3570"/>
              </w:tabs>
              <w:spacing w:line="360" w:lineRule="auto"/>
              <w:rPr>
                <w:rFonts w:asciiTheme="minorEastAsia" w:hAnsiTheme="minorEastAsia"/>
                <w:sz w:val="24"/>
              </w:rPr>
            </w:pPr>
            <w:r>
              <w:rPr>
                <w:rFonts w:hint="eastAsia" w:ascii="宋体" w:hAnsi="宋体"/>
                <w:sz w:val="24"/>
              </w:rPr>
              <w:t>6.</w:t>
            </w:r>
            <w:r>
              <w:rPr>
                <w:rFonts w:hint="eastAsia" w:asciiTheme="minorEastAsia" w:hAnsiTheme="minorEastAsia"/>
                <w:sz w:val="24"/>
              </w:rPr>
              <w:t>特种作业人员必须持证上岗。</w:t>
            </w:r>
          </w:p>
          <w:p w14:paraId="184B4E70">
            <w:pPr>
              <w:spacing w:line="400" w:lineRule="exact"/>
              <w:rPr>
                <w:rFonts w:ascii="宋体" w:hAnsi="宋体"/>
                <w:sz w:val="24"/>
              </w:rPr>
            </w:pPr>
            <w:r>
              <w:rPr>
                <w:rFonts w:hint="eastAsia" w:ascii="宋体" w:hAnsi="宋体"/>
                <w:sz w:val="24"/>
              </w:rPr>
              <w:t>（二</w:t>
            </w:r>
            <w:r>
              <w:rPr>
                <w:rFonts w:ascii="宋体" w:hAnsi="宋体"/>
                <w:sz w:val="24"/>
              </w:rPr>
              <w:t>）</w:t>
            </w:r>
            <w:r>
              <w:rPr>
                <w:rFonts w:hint="eastAsia" w:ascii="宋体" w:hAnsi="宋体" w:cs="宋体"/>
                <w:color w:val="000000"/>
                <w:kern w:val="0"/>
                <w:sz w:val="24"/>
              </w:rPr>
              <w:t>其他要求</w:t>
            </w:r>
          </w:p>
          <w:p w14:paraId="19E0AAA2">
            <w:pPr>
              <w:spacing w:line="440" w:lineRule="exact"/>
              <w:rPr>
                <w:rFonts w:ascii="宋体" w:hAnsi="宋体"/>
                <w:sz w:val="24"/>
              </w:rPr>
            </w:pPr>
            <w:r>
              <w:rPr>
                <w:rFonts w:hint="eastAsia" w:ascii="宋体" w:hAnsi="宋体"/>
                <w:sz w:val="24"/>
              </w:rPr>
              <w:t>1.进入作业地点时，先检查、熟悉作业环境。若发现不安全因素、隐患，必须及时向当班领导汇报，并立即处理，确认安全后再进行施工作业，对施工过程中发现危及人身安全、飞行器正常运营的隐患，应立即停止作业，及时要求班组长处理解决。现场所有安全防护设施和安全标志等，严禁私</w:t>
            </w:r>
            <w:bookmarkStart w:id="0" w:name="_GoBack"/>
            <w:bookmarkEnd w:id="0"/>
            <w:r>
              <w:rPr>
                <w:rFonts w:hint="eastAsia" w:ascii="宋体" w:hAnsi="宋体"/>
                <w:sz w:val="24"/>
              </w:rPr>
              <w:t>自移动和拆除。</w:t>
            </w:r>
          </w:p>
          <w:p w14:paraId="378F4004">
            <w:pPr>
              <w:autoSpaceDE w:val="0"/>
              <w:autoSpaceDN w:val="0"/>
              <w:spacing w:line="400" w:lineRule="exact"/>
              <w:rPr>
                <w:rFonts w:asciiTheme="minorEastAsia" w:hAnsiTheme="minorEastAsia" w:eastAsiaTheme="minorEastAsia"/>
                <w:kern w:val="0"/>
                <w:sz w:val="24"/>
                <w:szCs w:val="24"/>
              </w:rPr>
            </w:pPr>
            <w:r>
              <w:rPr>
                <w:rFonts w:hint="eastAsia" w:ascii="宋体" w:hAnsi="宋体"/>
                <w:sz w:val="24"/>
              </w:rPr>
              <w:t>2.在施工过程中，必须遵守“先防护，后施工”的规定，施工人员严禁在没有任何防护的情况下违章作业。</w:t>
            </w:r>
          </w:p>
        </w:tc>
      </w:tr>
      <w:tr w14:paraId="3DA22904">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90" w:hRule="atLeast"/>
          <w:jc w:val="center"/>
        </w:trPr>
        <w:tc>
          <w:tcPr>
            <w:tcW w:w="9000" w:type="dxa"/>
            <w:gridSpan w:val="10"/>
          </w:tcPr>
          <w:p w14:paraId="13403E43">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针对性交底：</w:t>
            </w:r>
          </w:p>
          <w:p w14:paraId="70CBF4B0">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1、所有作业活动必须在飞行控制区划定的范围内进行，施工作业人员必须服从机场安检人员以及项目管理人员的指挥。</w:t>
            </w:r>
          </w:p>
          <w:p w14:paraId="29D189AA">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2、进入飞行区施工必须统一着装，穿反光服、佩戴出入证件，通行证下班时交到证件专管员处；不得转借、涂改、损毁通行证，发现证件遗失立即报告当班领导处理。</w:t>
            </w:r>
          </w:p>
          <w:p w14:paraId="2592653F">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3、在进入飞行区作业前，统一下车有序接受机场有关部门的安全检查，不得冒用他人的证件进场；安检时不得拥挤、不与安检人员发生冲突，通过安检口后统一乘车进入作业区域，中途不得以任何理由下车，对自己的行为负责。</w:t>
            </w:r>
          </w:p>
          <w:p w14:paraId="59FEF345">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4、车辆进入飞行区通道口时，要听从安检人员的指令，驾驶员不允许发生抢道、抢行、超车行为，车速不得超过25km/h，与引领车辆保持安全距离，随时注意避让其他保障车辆；合理安排作息时间，避免疲劳驾驶。</w:t>
            </w:r>
          </w:p>
          <w:p w14:paraId="7853A7B1">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5、驾驶员在飞行区驾驶车辆时，必须在机场指定的路线上行驶，同时每天进场前必须对车辆的车况进行检查，并确保车载灭火器有效。</w:t>
            </w:r>
          </w:p>
          <w:p w14:paraId="2E2FB4C4">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6、所有进场车辆进场前由司机负责进行车辆外部清洗，出场前由司机在指定区域再次外部清洗，确保不遗撒、无外来物遗撒。</w:t>
            </w:r>
          </w:p>
          <w:p w14:paraId="3AA48FB4">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7、禁止非司机在飞行区内驾驶车辆，禁止非机械操作员擅自动用机械，禁止非电工擅自接线。</w:t>
            </w:r>
          </w:p>
          <w:p w14:paraId="71B9D5AA">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8、使用机械时，必须检查机械机油、水、柴油是否缺少，禁止将漏油的机械设备在现场使用，工作中发现机械故障及时报告班组长。</w:t>
            </w:r>
          </w:p>
          <w:p w14:paraId="2212186B">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9、施工现场用电必须由专业电工完成，电工必须严格执行《施工现场临时用电安全操作规范》（JGJ46-2005）</w:t>
            </w:r>
            <w:r>
              <w:rPr>
                <w:rFonts w:hint="eastAsia" w:cs="宋体" w:asciiTheme="minorEastAsia" w:hAnsiTheme="minorEastAsia" w:eastAsiaTheme="minorEastAsia"/>
                <w:kern w:val="0"/>
                <w:sz w:val="24"/>
                <w:szCs w:val="24"/>
                <w:lang w:eastAsia="zh-CN"/>
              </w:rPr>
              <w:t>，</w:t>
            </w:r>
            <w:r>
              <w:rPr>
                <w:rFonts w:hint="eastAsia" w:cs="宋体" w:asciiTheme="minorEastAsia" w:hAnsiTheme="minorEastAsia" w:eastAsiaTheme="minorEastAsia"/>
                <w:kern w:val="0"/>
                <w:sz w:val="24"/>
                <w:szCs w:val="24"/>
              </w:rPr>
              <w:t>规范用电。</w:t>
            </w:r>
          </w:p>
          <w:p w14:paraId="79E6689D">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10、夜间施工必须保证充足的照明，照明灯具的方向在施工范围内照射，不得仰角向上干扰、影响飞行器正常起降。</w:t>
            </w:r>
          </w:p>
          <w:p w14:paraId="690E899E">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11、严禁雨中进行露天带电作业，若因赶工期等因素时必须采取有效的安全措施，确保用电安全。</w:t>
            </w:r>
          </w:p>
          <w:p w14:paraId="18094C59">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12、施工人员必须遵守机场有关飞行区安全管理规定，施工完毕后要将地面上的遗留物清理干净后方可撤场。</w:t>
            </w:r>
          </w:p>
          <w:p w14:paraId="0939E499">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13、禁止在飞行区、施工现场随地大小便，方便时要到指定的临时厕所。</w:t>
            </w:r>
          </w:p>
          <w:p w14:paraId="6870A0D0">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hint="eastAsia"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14、施工现场所有废料（电线、电缆、钢筋等）由施工人员统一捡拾并回收，由现场专管员安排车辆清运出场。</w:t>
            </w:r>
          </w:p>
          <w:p w14:paraId="51FE9615">
            <w:pPr>
              <w:keepNext w:val="0"/>
              <w:keepLines w:val="0"/>
              <w:pageBreakBefore w:val="0"/>
              <w:widowControl w:val="0"/>
              <w:kinsoku/>
              <w:wordWrap/>
              <w:overflowPunct/>
              <w:topLinePunct w:val="0"/>
              <w:autoSpaceDE/>
              <w:autoSpaceDN/>
              <w:bidi w:val="0"/>
              <w:adjustRightInd/>
              <w:snapToGrid w:val="0"/>
              <w:spacing w:line="360" w:lineRule="auto"/>
              <w:jc w:val="left"/>
              <w:textAlignment w:val="auto"/>
              <w:rPr>
                <w:rFonts w:asciiTheme="minorEastAsia" w:hAnsiTheme="minorEastAsia"/>
                <w:b/>
                <w:sz w:val="24"/>
              </w:rPr>
            </w:pPr>
            <w:r>
              <w:rPr>
                <w:rFonts w:hint="eastAsia" w:asciiTheme="minorEastAsia" w:hAnsiTheme="minorEastAsia"/>
                <w:b/>
                <w:sz w:val="24"/>
              </w:rPr>
              <w:t>15、重点部位及空防安全保障要求</w:t>
            </w:r>
          </w:p>
          <w:p w14:paraId="43773607">
            <w:pPr>
              <w:tabs>
                <w:tab w:val="left" w:pos="540"/>
              </w:tabs>
              <w:spacing w:line="360" w:lineRule="auto"/>
              <w:ind w:right="-40" w:firstLine="482" w:firstLineChars="200"/>
              <w:jc w:val="left"/>
              <w:rPr>
                <w:rFonts w:asciiTheme="minorEastAsia" w:hAnsiTheme="minorEastAsia"/>
                <w:b/>
                <w:sz w:val="24"/>
              </w:rPr>
            </w:pPr>
            <w:r>
              <w:rPr>
                <w:rFonts w:hint="eastAsia" w:asciiTheme="minorEastAsia" w:hAnsiTheme="minorEastAsia"/>
                <w:b/>
                <w:sz w:val="24"/>
              </w:rPr>
              <w:t>（1）机械设备保障要求</w:t>
            </w:r>
          </w:p>
          <w:p w14:paraId="001E8627">
            <w:pPr>
              <w:tabs>
                <w:tab w:val="left" w:pos="540"/>
              </w:tabs>
              <w:spacing w:line="360" w:lineRule="auto"/>
              <w:ind w:right="-40" w:firstLine="480" w:firstLineChars="200"/>
              <w:jc w:val="left"/>
              <w:rPr>
                <w:rFonts w:asciiTheme="minorEastAsia" w:hAnsiTheme="minorEastAsia"/>
                <w:sz w:val="24"/>
              </w:rPr>
            </w:pPr>
            <w:r>
              <w:rPr>
                <w:rFonts w:hint="eastAsia" w:asciiTheme="minorEastAsia" w:hAnsiTheme="minorEastAsia"/>
                <w:sz w:val="24"/>
              </w:rPr>
              <w:t>a、根据民航总局不停航施工要求，关键设备全部双套配置，保证施工过程中不因任何设备出现故障而影响施工，从而产生影响航班正常和安全的隐患。</w:t>
            </w:r>
          </w:p>
          <w:p w14:paraId="4B6C6103">
            <w:pPr>
              <w:tabs>
                <w:tab w:val="left" w:pos="540"/>
              </w:tabs>
              <w:spacing w:line="360" w:lineRule="auto"/>
              <w:ind w:right="-40" w:firstLine="480" w:firstLineChars="200"/>
              <w:jc w:val="left"/>
              <w:rPr>
                <w:rFonts w:asciiTheme="minorEastAsia" w:hAnsiTheme="minorEastAsia"/>
                <w:sz w:val="24"/>
              </w:rPr>
            </w:pPr>
            <w:r>
              <w:rPr>
                <w:rFonts w:hint="eastAsia" w:asciiTheme="minorEastAsia" w:hAnsiTheme="minorEastAsia"/>
                <w:sz w:val="24"/>
              </w:rPr>
              <w:t>b、所有进入限制区施工的机械设备，每天必须进行维护保养，使之处于最佳状态。严禁带故障设备进入施工现场。</w:t>
            </w:r>
          </w:p>
          <w:p w14:paraId="01FF7772">
            <w:pPr>
              <w:tabs>
                <w:tab w:val="left" w:pos="540"/>
              </w:tabs>
              <w:spacing w:line="360" w:lineRule="auto"/>
              <w:ind w:right="-40" w:firstLine="480" w:firstLineChars="200"/>
              <w:jc w:val="left"/>
              <w:rPr>
                <w:rFonts w:asciiTheme="minorEastAsia" w:hAnsiTheme="minorEastAsia"/>
                <w:sz w:val="24"/>
              </w:rPr>
            </w:pPr>
            <w:r>
              <w:rPr>
                <w:rFonts w:hint="eastAsia" w:asciiTheme="minorEastAsia" w:hAnsiTheme="minorEastAsia"/>
                <w:sz w:val="24"/>
              </w:rPr>
              <w:t>c、</w:t>
            </w:r>
            <w:r>
              <w:rPr>
                <w:rFonts w:hint="eastAsia" w:asciiTheme="minorEastAsia" w:hAnsiTheme="minorEastAsia"/>
                <w:bCs/>
                <w:sz w:val="24"/>
              </w:rPr>
              <w:t>在施工现场预备一台50T汽车吊和一台平板拖车</w:t>
            </w:r>
            <w:r>
              <w:rPr>
                <w:rFonts w:hint="eastAsia" w:asciiTheme="minorEastAsia" w:hAnsiTheme="minorEastAsia"/>
                <w:sz w:val="24"/>
              </w:rPr>
              <w:t>，防止设备出现故障时，无法自行出场；在进场前进行预吊装试验，确保吊装的安全性。</w:t>
            </w:r>
          </w:p>
          <w:p w14:paraId="2FF94BB4">
            <w:pPr>
              <w:tabs>
                <w:tab w:val="left" w:pos="540"/>
              </w:tabs>
              <w:spacing w:line="360" w:lineRule="auto"/>
              <w:ind w:right="-40" w:firstLine="480" w:firstLineChars="200"/>
              <w:jc w:val="left"/>
              <w:rPr>
                <w:rFonts w:asciiTheme="minorEastAsia" w:hAnsiTheme="minorEastAsia"/>
                <w:sz w:val="24"/>
              </w:rPr>
            </w:pPr>
            <w:r>
              <w:rPr>
                <w:rFonts w:hint="eastAsia" w:asciiTheme="minorEastAsia" w:hAnsiTheme="minorEastAsia"/>
                <w:sz w:val="24"/>
              </w:rPr>
              <w:t>d、施工机具、车辆的高度不得超过两米</w:t>
            </w:r>
            <w:r>
              <w:rPr>
                <w:rFonts w:hint="eastAsia" w:asciiTheme="minorEastAsia" w:hAnsiTheme="minorEastAsia"/>
                <w:sz w:val="24"/>
                <w:lang w:eastAsia="zh-CN"/>
              </w:rPr>
              <w:t>，</w:t>
            </w:r>
            <w:r>
              <w:rPr>
                <w:rFonts w:hint="eastAsia" w:asciiTheme="minorEastAsia" w:hAnsiTheme="minorEastAsia"/>
                <w:sz w:val="24"/>
              </w:rPr>
              <w:t>并尽可能缩小施工区域。</w:t>
            </w:r>
          </w:p>
          <w:p w14:paraId="4C3393A8">
            <w:pPr>
              <w:tabs>
                <w:tab w:val="left" w:pos="540"/>
              </w:tabs>
              <w:spacing w:line="360" w:lineRule="auto"/>
              <w:ind w:right="-40" w:firstLine="480" w:firstLineChars="200"/>
              <w:jc w:val="left"/>
              <w:rPr>
                <w:sz w:val="24"/>
              </w:rPr>
            </w:pPr>
            <w:r>
              <w:rPr>
                <w:rFonts w:hint="eastAsia"/>
                <w:sz w:val="24"/>
              </w:rPr>
              <w:t>e、进入飞行区的施工车辆顶部设置黄色旋转灯标，并处于24小时开启状态。</w:t>
            </w:r>
          </w:p>
          <w:p w14:paraId="2AFF9989">
            <w:pPr>
              <w:tabs>
                <w:tab w:val="left" w:pos="540"/>
              </w:tabs>
              <w:spacing w:line="360" w:lineRule="auto"/>
              <w:ind w:right="-40" w:firstLine="480" w:firstLineChars="200"/>
              <w:jc w:val="left"/>
              <w:rPr>
                <w:rFonts w:asciiTheme="minorEastAsia" w:hAnsiTheme="minorEastAsia"/>
                <w:sz w:val="24"/>
              </w:rPr>
            </w:pPr>
            <w:r>
              <w:rPr>
                <w:rFonts w:hint="eastAsia"/>
                <w:sz w:val="24"/>
              </w:rPr>
              <w:t>f、施工车辆、机具的停放区域和堆料场的设置不得阻挡机场管制塔台对跑道、滑行道和机坪的观察视线，也不得遮挡任何使用中的助航灯光、标记牌，并不得超过净空限制面。</w:t>
            </w:r>
          </w:p>
          <w:p w14:paraId="08D94E2D">
            <w:pPr>
              <w:tabs>
                <w:tab w:val="left" w:pos="540"/>
              </w:tabs>
              <w:spacing w:line="360" w:lineRule="auto"/>
              <w:ind w:right="-40" w:firstLine="482" w:firstLineChars="200"/>
              <w:jc w:val="left"/>
              <w:rPr>
                <w:rFonts w:asciiTheme="minorEastAsia" w:hAnsiTheme="minorEastAsia"/>
                <w:b/>
                <w:sz w:val="24"/>
              </w:rPr>
            </w:pPr>
            <w:r>
              <w:rPr>
                <w:rFonts w:hint="eastAsia" w:asciiTheme="minorEastAsia" w:hAnsiTheme="minorEastAsia"/>
                <w:b/>
                <w:sz w:val="24"/>
              </w:rPr>
              <w:t>（2）人员车辆行驶保障要求</w:t>
            </w:r>
          </w:p>
          <w:p w14:paraId="72B8F9F2">
            <w:pPr>
              <w:tabs>
                <w:tab w:val="left" w:pos="540"/>
              </w:tabs>
              <w:spacing w:line="360" w:lineRule="auto"/>
              <w:ind w:right="-40" w:firstLine="600" w:firstLineChars="250"/>
              <w:jc w:val="left"/>
              <w:rPr>
                <w:rFonts w:asciiTheme="minorEastAsia" w:hAnsiTheme="minorEastAsia"/>
                <w:sz w:val="24"/>
              </w:rPr>
            </w:pPr>
            <w:r>
              <w:rPr>
                <w:rFonts w:hint="eastAsia" w:asciiTheme="minorEastAsia" w:hAnsiTheme="minorEastAsia"/>
                <w:sz w:val="24"/>
              </w:rPr>
              <w:t>a、人员、机具及材料由围界新开临时门进场和退场，施工人员和车辆严格按照指挥部规定的时间、路线、速度进出施工区域，注意避让生产车辆。</w:t>
            </w:r>
          </w:p>
          <w:p w14:paraId="48C0D8D2">
            <w:pPr>
              <w:tabs>
                <w:tab w:val="left" w:pos="540"/>
              </w:tabs>
              <w:spacing w:line="360" w:lineRule="auto"/>
              <w:ind w:right="-40" w:firstLine="600" w:firstLineChars="250"/>
              <w:jc w:val="left"/>
              <w:rPr>
                <w:rFonts w:asciiTheme="minorEastAsia" w:hAnsiTheme="minorEastAsia"/>
                <w:sz w:val="24"/>
              </w:rPr>
            </w:pPr>
            <w:r>
              <w:rPr>
                <w:rFonts w:hint="eastAsia" w:asciiTheme="minorEastAsia" w:hAnsiTheme="minorEastAsia"/>
                <w:sz w:val="24"/>
              </w:rPr>
              <w:t>b、因临时进出施工区域，驾驶员所驾车辆，由持有场内车驾驶证的人员全程引领。</w:t>
            </w:r>
          </w:p>
          <w:p w14:paraId="320F32AB">
            <w:pPr>
              <w:pStyle w:val="4"/>
              <w:spacing w:line="360" w:lineRule="auto"/>
              <w:ind w:firstLine="560"/>
              <w:jc w:val="both"/>
              <w:rPr>
                <w:rFonts w:cs="Times New Roman" w:asciiTheme="minorEastAsia" w:hAnsiTheme="minorEastAsia" w:eastAsiaTheme="minorEastAsia"/>
                <w:b/>
                <w:color w:val="auto"/>
                <w:spacing w:val="-4"/>
                <w:kern w:val="2"/>
              </w:rPr>
            </w:pPr>
            <w:r>
              <w:rPr>
                <w:rFonts w:hint="eastAsia" w:cs="Times New Roman" w:asciiTheme="minorEastAsia" w:hAnsiTheme="minorEastAsia" w:eastAsiaTheme="minorEastAsia"/>
                <w:b/>
                <w:color w:val="auto"/>
                <w:spacing w:val="-4"/>
                <w:kern w:val="2"/>
              </w:rPr>
              <w:t>（3）证件管理要求</w:t>
            </w:r>
          </w:p>
          <w:p w14:paraId="76B4CA7D">
            <w:pPr>
              <w:pStyle w:val="4"/>
              <w:spacing w:line="360" w:lineRule="auto"/>
              <w:ind w:firstLine="560"/>
              <w:jc w:val="both"/>
              <w:rPr>
                <w:rFonts w:cs="Times New Roman" w:asciiTheme="minorEastAsia" w:hAnsiTheme="minorEastAsia" w:eastAsiaTheme="minorEastAsia"/>
                <w:color w:val="auto"/>
                <w:spacing w:val="-4"/>
                <w:kern w:val="2"/>
              </w:rPr>
            </w:pPr>
            <w:r>
              <w:rPr>
                <w:rFonts w:hint="eastAsia" w:asciiTheme="minorEastAsia" w:hAnsiTheme="minorEastAsia" w:eastAsiaTheme="minorEastAsia"/>
              </w:rPr>
              <w:t>a、</w:t>
            </w:r>
            <w:r>
              <w:rPr>
                <w:rFonts w:hint="eastAsia" w:cs="Times New Roman" w:asciiTheme="minorEastAsia" w:hAnsiTheme="minorEastAsia" w:eastAsiaTheme="minorEastAsia"/>
                <w:color w:val="auto"/>
                <w:spacing w:val="-4"/>
                <w:kern w:val="2"/>
              </w:rPr>
              <w:t>进入飞行隔离施工区从事施工作业的人员经过</w:t>
            </w:r>
            <w:r>
              <w:rPr>
                <w:rFonts w:hint="eastAsia" w:cs="Times New Roman" w:asciiTheme="minorEastAsia" w:hAnsiTheme="minorEastAsia" w:eastAsiaTheme="minorEastAsia"/>
                <w:b/>
                <w:color w:val="auto"/>
                <w:spacing w:val="-4"/>
                <w:kern w:val="2"/>
              </w:rPr>
              <w:t>安全教育及培训</w:t>
            </w:r>
            <w:r>
              <w:rPr>
                <w:rFonts w:hint="eastAsia" w:cs="Times New Roman" w:asciiTheme="minorEastAsia" w:hAnsiTheme="minorEastAsia" w:eastAsiaTheme="minorEastAsia"/>
                <w:color w:val="auto"/>
                <w:spacing w:val="-4"/>
                <w:kern w:val="2"/>
              </w:rPr>
              <w:t>并办理限制施工区通行证（包括车辆通行证）。人员和车辆进出飞行区出入口时，列队凭证进入，接受检查。</w:t>
            </w:r>
          </w:p>
          <w:p w14:paraId="1A23BBC0">
            <w:pPr>
              <w:pStyle w:val="4"/>
              <w:spacing w:line="360" w:lineRule="auto"/>
              <w:ind w:firstLine="560"/>
              <w:jc w:val="both"/>
              <w:rPr>
                <w:rFonts w:asciiTheme="minorEastAsia" w:hAnsiTheme="minorEastAsia" w:eastAsiaTheme="minorEastAsia"/>
              </w:rPr>
            </w:pPr>
            <w:r>
              <w:rPr>
                <w:rFonts w:hint="eastAsia" w:asciiTheme="minorEastAsia" w:hAnsiTheme="minorEastAsia" w:eastAsiaTheme="minorEastAsia"/>
              </w:rPr>
              <w:t>b、</w:t>
            </w:r>
            <w:r>
              <w:rPr>
                <w:rFonts w:hint="eastAsia" w:cs="Times New Roman" w:asciiTheme="minorEastAsia" w:hAnsiTheme="minorEastAsia" w:eastAsiaTheme="minorEastAsia"/>
                <w:color w:val="auto"/>
                <w:spacing w:val="-4"/>
                <w:kern w:val="2"/>
              </w:rPr>
              <w:t>人员、车辆进飞行隔离施工区时，对其数量予以清点，仅限在施工区域内活动，施工结束后，从指定岗亭道口出来，出飞行隔离施工区时予以核对，施工人员将自己的施工用具随身带出</w:t>
            </w:r>
            <w:r>
              <w:rPr>
                <w:rFonts w:hint="eastAsia" w:asciiTheme="minorEastAsia" w:hAnsiTheme="minorEastAsia" w:eastAsiaTheme="minorEastAsia"/>
              </w:rPr>
              <w:t>。</w:t>
            </w:r>
          </w:p>
          <w:p w14:paraId="6DA5B31B">
            <w:pPr>
              <w:pStyle w:val="4"/>
              <w:spacing w:line="360" w:lineRule="auto"/>
              <w:ind w:firstLine="560"/>
              <w:jc w:val="both"/>
              <w:rPr>
                <w:rFonts w:cs="Times New Roman" w:asciiTheme="minorEastAsia" w:hAnsiTheme="minorEastAsia" w:eastAsiaTheme="minorEastAsia"/>
                <w:bCs/>
                <w:color w:val="auto"/>
                <w:kern w:val="2"/>
              </w:rPr>
            </w:pPr>
            <w:r>
              <w:rPr>
                <w:rFonts w:hint="eastAsia" w:asciiTheme="minorEastAsia" w:hAnsiTheme="minorEastAsia" w:eastAsiaTheme="minorEastAsia"/>
              </w:rPr>
              <w:t>c、人员证件执行上班发证下班收回项目部的管理制度。</w:t>
            </w:r>
          </w:p>
          <w:p w14:paraId="5EAB1478">
            <w:pPr>
              <w:topLinePunct/>
              <w:spacing w:line="360" w:lineRule="auto"/>
              <w:ind w:firstLine="434" w:firstLineChars="180"/>
              <w:textAlignment w:val="top"/>
              <w:rPr>
                <w:rFonts w:asciiTheme="minorEastAsia" w:hAnsiTheme="minorEastAsia"/>
                <w:b/>
                <w:sz w:val="24"/>
              </w:rPr>
            </w:pPr>
            <w:r>
              <w:rPr>
                <w:rFonts w:hint="eastAsia" w:asciiTheme="minorEastAsia" w:hAnsiTheme="minorEastAsia"/>
                <w:b/>
                <w:sz w:val="24"/>
              </w:rPr>
              <w:t>（3）通信保障要求</w:t>
            </w:r>
          </w:p>
          <w:p w14:paraId="1EEB896B">
            <w:pPr>
              <w:topLinePunct/>
              <w:spacing w:line="360" w:lineRule="auto"/>
              <w:ind w:firstLine="432" w:firstLineChars="180"/>
              <w:textAlignment w:val="top"/>
              <w:rPr>
                <w:rFonts w:asciiTheme="minorEastAsia" w:hAnsiTheme="minorEastAsia"/>
                <w:sz w:val="24"/>
              </w:rPr>
            </w:pPr>
            <w:r>
              <w:rPr>
                <w:rFonts w:hint="eastAsia" w:asciiTheme="minorEastAsia" w:hAnsiTheme="minorEastAsia"/>
                <w:sz w:val="24"/>
              </w:rPr>
              <w:t>开工前将本项目及机场有关部门联系电话、手机号码制成通讯录，分发给各施工队及班组，并保证所有通信联络工具处于完好状态，统一配置一套无线电对讲联络设备，建立与机场指挥部等有关部门之间有效的对讲系统；</w:t>
            </w:r>
          </w:p>
          <w:p w14:paraId="6DCE990F">
            <w:pPr>
              <w:topLinePunct/>
              <w:spacing w:line="360" w:lineRule="auto"/>
              <w:ind w:firstLine="434" w:firstLineChars="180"/>
              <w:textAlignment w:val="top"/>
              <w:rPr>
                <w:rFonts w:asciiTheme="minorEastAsia" w:hAnsiTheme="minorEastAsia"/>
                <w:b/>
                <w:sz w:val="24"/>
              </w:rPr>
            </w:pPr>
            <w:r>
              <w:rPr>
                <w:rFonts w:hint="eastAsia" w:asciiTheme="minorEastAsia" w:hAnsiTheme="minorEastAsia"/>
                <w:b/>
                <w:sz w:val="24"/>
              </w:rPr>
              <w:t>（4）成立施工协调和应急小组。</w:t>
            </w:r>
          </w:p>
          <w:p w14:paraId="6D72038F">
            <w:pPr>
              <w:spacing w:line="360" w:lineRule="auto"/>
              <w:ind w:firstLine="361" w:firstLineChars="150"/>
              <w:rPr>
                <w:rFonts w:asciiTheme="minorEastAsia" w:hAnsiTheme="minorEastAsia"/>
                <w:b/>
                <w:color w:val="000000"/>
                <w:sz w:val="24"/>
              </w:rPr>
            </w:pPr>
            <w:r>
              <w:rPr>
                <w:rFonts w:hint="eastAsia" w:asciiTheme="minorEastAsia" w:hAnsiTheme="minorEastAsia"/>
                <w:b/>
                <w:bCs/>
                <w:sz w:val="24"/>
              </w:rPr>
              <w:t>（5）、</w:t>
            </w:r>
            <w:r>
              <w:rPr>
                <w:rFonts w:hint="eastAsia" w:asciiTheme="minorEastAsia" w:hAnsiTheme="minorEastAsia"/>
                <w:b/>
                <w:color w:val="000000"/>
                <w:sz w:val="24"/>
              </w:rPr>
              <w:t>紧急撤离实施要求</w:t>
            </w:r>
          </w:p>
          <w:p w14:paraId="404564E6">
            <w:pPr>
              <w:spacing w:line="360" w:lineRule="auto"/>
              <w:ind w:firstLine="480" w:firstLineChars="200"/>
              <w:rPr>
                <w:rFonts w:asciiTheme="minorEastAsia" w:hAnsiTheme="minorEastAsia"/>
                <w:color w:val="000000"/>
                <w:sz w:val="24"/>
              </w:rPr>
            </w:pPr>
            <w:r>
              <w:rPr>
                <w:rFonts w:hint="eastAsia" w:asciiTheme="minorEastAsia" w:hAnsiTheme="minorEastAsia"/>
                <w:color w:val="000000"/>
                <w:sz w:val="24"/>
              </w:rPr>
              <w:t>发生特情、飞机迫降等紧急情况，启动以下紧急撤离程序。</w:t>
            </w:r>
          </w:p>
          <w:p w14:paraId="49DBA0EF">
            <w:pPr>
              <w:spacing w:line="360" w:lineRule="auto"/>
              <w:ind w:firstLine="480" w:firstLineChars="200"/>
              <w:rPr>
                <w:rFonts w:asciiTheme="minorEastAsia" w:hAnsiTheme="minorEastAsia"/>
                <w:color w:val="000000"/>
                <w:sz w:val="24"/>
              </w:rPr>
            </w:pPr>
            <w:r>
              <w:rPr>
                <w:rFonts w:asciiTheme="minorEastAsia" w:hAnsiTheme="minorEastAsia"/>
                <w:sz w:val="24"/>
              </w:rPr>
              <w:t>①</w:t>
            </w:r>
            <w:r>
              <w:rPr>
                <w:rFonts w:hint="eastAsia" w:asciiTheme="minorEastAsia" w:hAnsiTheme="minorEastAsia"/>
                <w:color w:val="000000"/>
                <w:sz w:val="24"/>
              </w:rPr>
              <w:t>施工现场负责人接到指令后，发布立即撤离通知，并发出指令，所有人员、机械立即停止正常施工作业，按指定撤离路线有序撤场。</w:t>
            </w:r>
          </w:p>
          <w:p w14:paraId="7F035484">
            <w:pPr>
              <w:spacing w:line="360" w:lineRule="auto"/>
              <w:ind w:firstLine="480" w:firstLineChars="200"/>
              <w:rPr>
                <w:rFonts w:asciiTheme="minorEastAsia" w:hAnsiTheme="minorEastAsia"/>
                <w:color w:val="000000"/>
                <w:sz w:val="24"/>
              </w:rPr>
            </w:pPr>
            <w:r>
              <w:rPr>
                <w:rFonts w:hint="eastAsia" w:asciiTheme="minorEastAsia" w:hAnsiTheme="minorEastAsia"/>
                <w:color w:val="000000"/>
                <w:sz w:val="24"/>
              </w:rPr>
              <w:t>②撤离的同时，安排专人进行检查现场，防止机工具、杂物及漂浮物等遗留。</w:t>
            </w:r>
          </w:p>
          <w:p w14:paraId="40AB6DC2">
            <w:pPr>
              <w:spacing w:line="360" w:lineRule="auto"/>
              <w:ind w:firstLine="480" w:firstLineChars="200"/>
              <w:rPr>
                <w:rFonts w:hint="eastAsia" w:asciiTheme="minorEastAsia" w:hAnsiTheme="minorEastAsia"/>
                <w:color w:val="000000"/>
                <w:sz w:val="24"/>
              </w:rPr>
            </w:pPr>
            <w:r>
              <w:rPr>
                <w:rFonts w:hint="eastAsia" w:asciiTheme="minorEastAsia" w:hAnsiTheme="minorEastAsia"/>
                <w:color w:val="000000"/>
                <w:sz w:val="24"/>
              </w:rPr>
              <w:t>③撤离完成后，通知飞行区工程部现场代表，并做出详细记录备案。</w:t>
            </w:r>
          </w:p>
          <w:p w14:paraId="4C057C9D">
            <w:pPr>
              <w:spacing w:line="360" w:lineRule="auto"/>
              <w:ind w:firstLine="482" w:firstLineChars="200"/>
              <w:rPr>
                <w:rFonts w:hint="eastAsia" w:asciiTheme="minorEastAsia" w:hAnsiTheme="minorEastAsia"/>
                <w:b/>
                <w:color w:val="000000"/>
                <w:sz w:val="24"/>
              </w:rPr>
            </w:pPr>
            <w:r>
              <w:rPr>
                <w:rFonts w:hint="eastAsia" w:asciiTheme="minorEastAsia" w:hAnsiTheme="minorEastAsia"/>
                <w:b/>
                <w:color w:val="000000"/>
                <w:sz w:val="24"/>
              </w:rPr>
              <w:t>（6）其他要求</w:t>
            </w:r>
          </w:p>
          <w:p w14:paraId="19104DCC">
            <w:pPr>
              <w:spacing w:line="360" w:lineRule="auto"/>
              <w:ind w:firstLine="480" w:firstLineChars="200"/>
              <w:rPr>
                <w:rFonts w:hint="eastAsia" w:asciiTheme="minorEastAsia" w:hAnsiTheme="minorEastAsia"/>
                <w:color w:val="000000"/>
                <w:sz w:val="24"/>
              </w:rPr>
            </w:pPr>
            <w:r>
              <w:rPr>
                <w:rFonts w:asciiTheme="minorEastAsia" w:hAnsiTheme="minorEastAsia"/>
                <w:sz w:val="24"/>
              </w:rPr>
              <w:t>①</w:t>
            </w:r>
            <w:r>
              <w:rPr>
                <w:rFonts w:hint="eastAsia" w:asciiTheme="minorEastAsia" w:hAnsiTheme="minorEastAsia"/>
                <w:color w:val="000000"/>
                <w:sz w:val="24"/>
              </w:rPr>
              <w:t>不停航施工必须在航空器起飞、着陆前1小时，施工单位应当完成清理施工现场的工作，包括填平、夯实沟坑，将施工人员、机具、车辆全部撤离施工区域。</w:t>
            </w:r>
          </w:p>
          <w:p w14:paraId="7C0F1358">
            <w:pPr>
              <w:spacing w:line="360" w:lineRule="auto"/>
              <w:ind w:firstLine="480" w:firstLineChars="200"/>
              <w:rPr>
                <w:rFonts w:hint="eastAsia" w:asciiTheme="minorEastAsia" w:hAnsiTheme="minorEastAsia"/>
                <w:color w:val="000000"/>
                <w:sz w:val="24"/>
              </w:rPr>
            </w:pPr>
            <w:r>
              <w:rPr>
                <w:rFonts w:hint="eastAsia" w:asciiTheme="minorEastAsia" w:hAnsiTheme="minorEastAsia"/>
                <w:color w:val="000000"/>
                <w:sz w:val="24"/>
              </w:rPr>
              <w:t>②在跑道端300米以外区域进行施工的，施工机具、车辆的高度以及起重机悬臂作业高度不得穿透障碍物限制面。在跑道两侧升降带内进行施工的，施工机具、车辆、堆放物高度以及起重机悬臂作业高度不得穿透内过渡面和复飞面。施工机具、车辆的高度不得超过两米</w:t>
            </w:r>
            <w:r>
              <w:rPr>
                <w:rFonts w:hint="eastAsia" w:asciiTheme="minorEastAsia" w:hAnsiTheme="minorEastAsia"/>
                <w:color w:val="000000"/>
                <w:sz w:val="24"/>
                <w:lang w:eastAsia="zh-CN"/>
              </w:rPr>
              <w:t>，</w:t>
            </w:r>
            <w:r>
              <w:rPr>
                <w:rFonts w:hint="eastAsia" w:asciiTheme="minorEastAsia" w:hAnsiTheme="minorEastAsia"/>
                <w:color w:val="000000"/>
                <w:sz w:val="24"/>
              </w:rPr>
              <w:t>并尽可能缩小施工区域。</w:t>
            </w:r>
          </w:p>
          <w:p w14:paraId="6429BA81">
            <w:pPr>
              <w:spacing w:line="360" w:lineRule="auto"/>
              <w:ind w:firstLine="480" w:firstLineChars="200"/>
              <w:rPr>
                <w:rFonts w:hint="eastAsia" w:asciiTheme="minorEastAsia" w:hAnsiTheme="minorEastAsia"/>
                <w:color w:val="000000"/>
                <w:sz w:val="24"/>
              </w:rPr>
            </w:pPr>
            <w:r>
              <w:rPr>
                <w:rFonts w:hint="eastAsia" w:asciiTheme="minorEastAsia" w:hAnsiTheme="minorEastAsia"/>
                <w:color w:val="000000"/>
                <w:sz w:val="24"/>
              </w:rPr>
              <w:t>③在滑行道、机坪道面边以外进行施工的，当有航空器通过时，滑行道中线或机位滑行道中线至物体的最小安全距离范围内，不得存在影响航空器滑行安全的设备、人员或其他堆放物，并不得存在可能吸入发动机的松散物和其他可能危及航空器安全的物体。</w:t>
            </w:r>
          </w:p>
          <w:p w14:paraId="103F3E73">
            <w:pPr>
              <w:spacing w:line="360" w:lineRule="auto"/>
              <w:ind w:firstLine="480" w:firstLineChars="200"/>
              <w:rPr>
                <w:rFonts w:hint="default" w:cs="宋体" w:asciiTheme="minorEastAsia" w:hAnsiTheme="minorEastAsia" w:eastAsiaTheme="minorEastAsia"/>
                <w:sz w:val="24"/>
                <w:szCs w:val="24"/>
                <w:lang w:val="en-US" w:eastAsia="zh-CN"/>
              </w:rPr>
            </w:pPr>
            <w:r>
              <w:rPr>
                <w:rFonts w:hint="eastAsia" w:asciiTheme="minorEastAsia" w:hAnsiTheme="minorEastAsia"/>
                <w:color w:val="000000"/>
                <w:sz w:val="24"/>
              </w:rPr>
              <w:t>④施工期间，必须保护好导航设施临界区、敏感区的场地。航空器运行时，任何车辆、人员不得进入临界区、敏感区。不得使用可能对导航设施或航空器通信产生干扰的电气设备。</w:t>
            </w:r>
          </w:p>
        </w:tc>
      </w:tr>
      <w:tr w14:paraId="721BAC87">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90" w:hRule="atLeast"/>
          <w:jc w:val="center"/>
        </w:trPr>
        <w:tc>
          <w:tcPr>
            <w:tcW w:w="1534" w:type="dxa"/>
            <w:gridSpan w:val="2"/>
            <w:shd w:val="clear" w:color="FFFFCC" w:fill="FFFFFF"/>
            <w:vAlign w:val="center"/>
          </w:tcPr>
          <w:p w14:paraId="147D0B01">
            <w:pPr>
              <w:snapToGrid w:val="0"/>
              <w:jc w:val="center"/>
              <w:rPr>
                <w:rFonts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交底人</w:t>
            </w:r>
          </w:p>
        </w:tc>
        <w:tc>
          <w:tcPr>
            <w:tcW w:w="1381" w:type="dxa"/>
            <w:vAlign w:val="center"/>
          </w:tcPr>
          <w:p w14:paraId="149A5543">
            <w:pPr>
              <w:snapToGrid w:val="0"/>
              <w:jc w:val="center"/>
              <w:rPr>
                <w:rFonts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highlight w:val="yellow"/>
                <w:lang w:val="en-US" w:eastAsia="zh-CN"/>
              </w:rPr>
              <w:t>XXX</w:t>
            </w:r>
            <w:r>
              <w:rPr>
                <w:rFonts w:hint="eastAsia" w:cs="宋体" w:asciiTheme="minorEastAsia" w:hAnsiTheme="minorEastAsia" w:eastAsiaTheme="minorEastAsia"/>
                <w:kern w:val="0"/>
                <w:sz w:val="24"/>
                <w:szCs w:val="24"/>
                <w:highlight w:val="yellow"/>
              </w:rPr>
              <w:t>　</w:t>
            </w:r>
          </w:p>
        </w:tc>
        <w:tc>
          <w:tcPr>
            <w:tcW w:w="1340" w:type="dxa"/>
            <w:gridSpan w:val="2"/>
            <w:shd w:val="clear" w:color="FFFFCC" w:fill="FFFFFF"/>
            <w:vAlign w:val="center"/>
          </w:tcPr>
          <w:p w14:paraId="6E42D2A8">
            <w:pPr>
              <w:snapToGrid w:val="0"/>
              <w:jc w:val="center"/>
              <w:rPr>
                <w:rFonts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职务</w:t>
            </w:r>
          </w:p>
        </w:tc>
        <w:tc>
          <w:tcPr>
            <w:tcW w:w="1454" w:type="dxa"/>
            <w:gridSpan w:val="2"/>
            <w:vAlign w:val="center"/>
          </w:tcPr>
          <w:p w14:paraId="3BAAC14F">
            <w:pPr>
              <w:snapToGrid w:val="0"/>
              <w:jc w:val="center"/>
              <w:rPr>
                <w:rFonts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lang w:eastAsia="zh-CN"/>
              </w:rPr>
              <w:t>施工员</w:t>
            </w:r>
            <w:r>
              <w:rPr>
                <w:rFonts w:hint="eastAsia" w:cs="宋体" w:asciiTheme="minorEastAsia" w:hAnsiTheme="minorEastAsia" w:eastAsiaTheme="minorEastAsia"/>
                <w:kern w:val="0"/>
                <w:sz w:val="24"/>
                <w:szCs w:val="24"/>
              </w:rPr>
              <w:t>　</w:t>
            </w:r>
          </w:p>
        </w:tc>
        <w:tc>
          <w:tcPr>
            <w:tcW w:w="1436" w:type="dxa"/>
            <w:gridSpan w:val="2"/>
            <w:shd w:val="clear" w:color="FFFFCC" w:fill="FFFFFF"/>
            <w:vAlign w:val="center"/>
          </w:tcPr>
          <w:p w14:paraId="7170CCAA">
            <w:pPr>
              <w:snapToGrid w:val="0"/>
              <w:jc w:val="center"/>
              <w:rPr>
                <w:rFonts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专职安全员</w:t>
            </w:r>
          </w:p>
          <w:p w14:paraId="23EDCC62">
            <w:pPr>
              <w:snapToGrid w:val="0"/>
              <w:jc w:val="center"/>
              <w:rPr>
                <w:rFonts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监督签字</w:t>
            </w:r>
          </w:p>
        </w:tc>
        <w:tc>
          <w:tcPr>
            <w:tcW w:w="1855" w:type="dxa"/>
            <w:vAlign w:val="center"/>
          </w:tcPr>
          <w:p w14:paraId="779A3B97">
            <w:pPr>
              <w:snapToGrid w:val="0"/>
              <w:jc w:val="center"/>
              <w:rPr>
                <w:rFonts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　</w:t>
            </w:r>
          </w:p>
        </w:tc>
      </w:tr>
      <w:tr w14:paraId="2E78AC5D">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90" w:hRule="atLeast"/>
          <w:jc w:val="center"/>
        </w:trPr>
        <w:tc>
          <w:tcPr>
            <w:tcW w:w="1534" w:type="dxa"/>
            <w:gridSpan w:val="2"/>
            <w:shd w:val="clear" w:color="FFFFCC" w:fill="FFFFFF"/>
            <w:vAlign w:val="center"/>
          </w:tcPr>
          <w:p w14:paraId="4774202D">
            <w:pPr>
              <w:snapToGrid w:val="0"/>
              <w:jc w:val="center"/>
              <w:rPr>
                <w:rFonts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接受交底单位</w:t>
            </w:r>
          </w:p>
          <w:p w14:paraId="08DCE4EB">
            <w:pPr>
              <w:snapToGrid w:val="0"/>
              <w:jc w:val="center"/>
              <w:rPr>
                <w:rFonts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负责人</w:t>
            </w:r>
          </w:p>
        </w:tc>
        <w:tc>
          <w:tcPr>
            <w:tcW w:w="1381" w:type="dxa"/>
            <w:vAlign w:val="center"/>
          </w:tcPr>
          <w:p w14:paraId="03911A7E">
            <w:pPr>
              <w:snapToGrid w:val="0"/>
              <w:jc w:val="center"/>
              <w:rPr>
                <w:rFonts w:asciiTheme="minorEastAsia" w:hAnsiTheme="minorEastAsia" w:eastAsiaTheme="minorEastAsia"/>
                <w:kern w:val="0"/>
                <w:sz w:val="24"/>
                <w:szCs w:val="24"/>
              </w:rPr>
            </w:pPr>
          </w:p>
        </w:tc>
        <w:tc>
          <w:tcPr>
            <w:tcW w:w="1340" w:type="dxa"/>
            <w:gridSpan w:val="2"/>
            <w:shd w:val="clear" w:color="FFFFCC" w:fill="FFFFFF"/>
            <w:vAlign w:val="center"/>
          </w:tcPr>
          <w:p w14:paraId="6D6DD89C">
            <w:pPr>
              <w:snapToGrid w:val="0"/>
              <w:jc w:val="center"/>
              <w:rPr>
                <w:rFonts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职务</w:t>
            </w:r>
          </w:p>
        </w:tc>
        <w:tc>
          <w:tcPr>
            <w:tcW w:w="1454" w:type="dxa"/>
            <w:gridSpan w:val="2"/>
            <w:vAlign w:val="center"/>
          </w:tcPr>
          <w:p w14:paraId="7B3354F8">
            <w:pPr>
              <w:snapToGrid w:val="0"/>
              <w:jc w:val="center"/>
              <w:rPr>
                <w:rFonts w:asciiTheme="minorEastAsia" w:hAnsiTheme="minorEastAsia" w:eastAsiaTheme="minorEastAsia"/>
                <w:kern w:val="0"/>
                <w:sz w:val="24"/>
                <w:szCs w:val="24"/>
              </w:rPr>
            </w:pPr>
          </w:p>
        </w:tc>
        <w:tc>
          <w:tcPr>
            <w:tcW w:w="1436" w:type="dxa"/>
            <w:gridSpan w:val="2"/>
            <w:shd w:val="clear" w:color="FFFFCC" w:fill="FFFFFF"/>
            <w:vAlign w:val="center"/>
          </w:tcPr>
          <w:p w14:paraId="19520498">
            <w:pPr>
              <w:snapToGrid w:val="0"/>
              <w:jc w:val="center"/>
              <w:rPr>
                <w:rFonts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交底时间</w:t>
            </w:r>
          </w:p>
        </w:tc>
        <w:tc>
          <w:tcPr>
            <w:tcW w:w="1855" w:type="dxa"/>
            <w:vAlign w:val="center"/>
          </w:tcPr>
          <w:p w14:paraId="0723E17E">
            <w:pPr>
              <w:snapToGrid w:val="0"/>
              <w:jc w:val="center"/>
              <w:rPr>
                <w:rFonts w:asciiTheme="minorEastAsia" w:hAnsiTheme="minorEastAsia" w:eastAsiaTheme="minorEastAsia"/>
                <w:kern w:val="0"/>
                <w:sz w:val="24"/>
                <w:szCs w:val="24"/>
              </w:rPr>
            </w:pPr>
          </w:p>
        </w:tc>
      </w:tr>
      <w:tr w14:paraId="16F8EBC6">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312" w:hRule="atLeast"/>
          <w:jc w:val="center"/>
        </w:trPr>
        <w:tc>
          <w:tcPr>
            <w:tcW w:w="1534" w:type="dxa"/>
            <w:gridSpan w:val="2"/>
            <w:vMerge w:val="restart"/>
            <w:shd w:val="clear" w:color="FFFFCC" w:fill="FFFFFF"/>
            <w:vAlign w:val="center"/>
          </w:tcPr>
          <w:p w14:paraId="56A525C7">
            <w:pPr>
              <w:snapToGrid w:val="0"/>
              <w:jc w:val="center"/>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接</w:t>
            </w:r>
            <w:r>
              <w:rPr>
                <w:rFonts w:asciiTheme="minorEastAsia" w:hAnsiTheme="minorEastAsia" w:eastAsiaTheme="minorEastAsia"/>
                <w:kern w:val="0"/>
                <w:sz w:val="24"/>
                <w:szCs w:val="24"/>
              </w:rPr>
              <w:br w:type="textWrapping"/>
            </w:r>
            <w:r>
              <w:rPr>
                <w:rFonts w:hint="eastAsia" w:cs="宋体" w:asciiTheme="minorEastAsia" w:hAnsiTheme="minorEastAsia" w:eastAsiaTheme="minorEastAsia"/>
                <w:kern w:val="0"/>
                <w:sz w:val="24"/>
                <w:szCs w:val="24"/>
              </w:rPr>
              <w:t>受</w:t>
            </w:r>
            <w:r>
              <w:rPr>
                <w:rFonts w:asciiTheme="minorEastAsia" w:hAnsiTheme="minorEastAsia" w:eastAsiaTheme="minorEastAsia"/>
                <w:kern w:val="0"/>
                <w:sz w:val="24"/>
                <w:szCs w:val="24"/>
              </w:rPr>
              <w:br w:type="textWrapping"/>
            </w:r>
            <w:r>
              <w:rPr>
                <w:rFonts w:hint="eastAsia" w:cs="宋体" w:asciiTheme="minorEastAsia" w:hAnsiTheme="minorEastAsia" w:eastAsiaTheme="minorEastAsia"/>
                <w:kern w:val="0"/>
                <w:sz w:val="24"/>
                <w:szCs w:val="24"/>
              </w:rPr>
              <w:t>交</w:t>
            </w:r>
            <w:r>
              <w:rPr>
                <w:rFonts w:asciiTheme="minorEastAsia" w:hAnsiTheme="minorEastAsia" w:eastAsiaTheme="minorEastAsia"/>
                <w:kern w:val="0"/>
                <w:sz w:val="24"/>
                <w:szCs w:val="24"/>
              </w:rPr>
              <w:br w:type="textWrapping"/>
            </w:r>
            <w:r>
              <w:rPr>
                <w:rFonts w:hint="eastAsia" w:cs="宋体" w:asciiTheme="minorEastAsia" w:hAnsiTheme="minorEastAsia" w:eastAsiaTheme="minorEastAsia"/>
                <w:kern w:val="0"/>
                <w:sz w:val="24"/>
                <w:szCs w:val="24"/>
              </w:rPr>
              <w:t>底</w:t>
            </w:r>
            <w:r>
              <w:rPr>
                <w:rFonts w:asciiTheme="minorEastAsia" w:hAnsiTheme="minorEastAsia" w:eastAsiaTheme="minorEastAsia"/>
                <w:kern w:val="0"/>
                <w:sz w:val="24"/>
                <w:szCs w:val="24"/>
              </w:rPr>
              <w:br w:type="textWrapping"/>
            </w:r>
            <w:r>
              <w:rPr>
                <w:rFonts w:hint="eastAsia" w:cs="宋体" w:asciiTheme="minorEastAsia" w:hAnsiTheme="minorEastAsia" w:eastAsiaTheme="minorEastAsia"/>
                <w:kern w:val="0"/>
                <w:sz w:val="24"/>
                <w:szCs w:val="24"/>
              </w:rPr>
              <w:t>作</w:t>
            </w:r>
          </w:p>
          <w:p w14:paraId="6A2F0268">
            <w:pPr>
              <w:snapToGrid w:val="0"/>
              <w:jc w:val="center"/>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业</w:t>
            </w:r>
          </w:p>
          <w:p w14:paraId="0FCE7143">
            <w:pPr>
              <w:snapToGrid w:val="0"/>
              <w:jc w:val="center"/>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人</w:t>
            </w:r>
          </w:p>
          <w:p w14:paraId="125FC48F">
            <w:pPr>
              <w:snapToGrid w:val="0"/>
              <w:jc w:val="center"/>
              <w:rPr>
                <w:rFonts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员</w:t>
            </w:r>
            <w:r>
              <w:rPr>
                <w:rFonts w:asciiTheme="minorEastAsia" w:hAnsiTheme="minorEastAsia" w:eastAsiaTheme="minorEastAsia"/>
                <w:kern w:val="0"/>
                <w:sz w:val="24"/>
                <w:szCs w:val="24"/>
              </w:rPr>
              <w:br w:type="textWrapping"/>
            </w:r>
            <w:r>
              <w:rPr>
                <w:rFonts w:hint="eastAsia" w:cs="宋体" w:asciiTheme="minorEastAsia" w:hAnsiTheme="minorEastAsia" w:eastAsiaTheme="minorEastAsia"/>
                <w:kern w:val="0"/>
                <w:sz w:val="24"/>
                <w:szCs w:val="24"/>
              </w:rPr>
              <w:t>签</w:t>
            </w:r>
            <w:r>
              <w:rPr>
                <w:rFonts w:asciiTheme="minorEastAsia" w:hAnsiTheme="minorEastAsia" w:eastAsiaTheme="minorEastAsia"/>
                <w:kern w:val="0"/>
                <w:sz w:val="24"/>
                <w:szCs w:val="24"/>
              </w:rPr>
              <w:br w:type="textWrapping"/>
            </w:r>
            <w:r>
              <w:rPr>
                <w:rFonts w:hint="eastAsia" w:cs="宋体" w:asciiTheme="minorEastAsia" w:hAnsiTheme="minorEastAsia" w:eastAsiaTheme="minorEastAsia"/>
                <w:kern w:val="0"/>
                <w:sz w:val="24"/>
                <w:szCs w:val="24"/>
              </w:rPr>
              <w:t>名</w:t>
            </w:r>
          </w:p>
        </w:tc>
        <w:tc>
          <w:tcPr>
            <w:tcW w:w="7466" w:type="dxa"/>
            <w:gridSpan w:val="8"/>
            <w:vMerge w:val="restart"/>
            <w:shd w:val="clear" w:color="FFFFCC" w:fill="FFFFFF"/>
          </w:tcPr>
          <w:p w14:paraId="656CF040">
            <w:pPr>
              <w:snapToGrid w:val="0"/>
              <w:rPr>
                <w:rFonts w:asciiTheme="minorEastAsia" w:hAnsiTheme="minorEastAsia" w:eastAsiaTheme="minorEastAsia"/>
                <w:kern w:val="0"/>
                <w:sz w:val="24"/>
                <w:szCs w:val="24"/>
              </w:rPr>
            </w:pPr>
          </w:p>
        </w:tc>
      </w:tr>
      <w:tr w14:paraId="2BED6492">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312" w:hRule="atLeast"/>
          <w:jc w:val="center"/>
        </w:trPr>
        <w:tc>
          <w:tcPr>
            <w:tcW w:w="1534" w:type="dxa"/>
            <w:gridSpan w:val="2"/>
            <w:vMerge w:val="continue"/>
            <w:vAlign w:val="center"/>
          </w:tcPr>
          <w:p w14:paraId="041E3FBE">
            <w:pPr>
              <w:snapToGrid w:val="0"/>
              <w:jc w:val="left"/>
              <w:rPr>
                <w:rFonts w:asciiTheme="minorEastAsia" w:hAnsiTheme="minorEastAsia" w:eastAsiaTheme="minorEastAsia"/>
                <w:kern w:val="0"/>
                <w:sz w:val="15"/>
                <w:szCs w:val="15"/>
              </w:rPr>
            </w:pPr>
          </w:p>
        </w:tc>
        <w:tc>
          <w:tcPr>
            <w:tcW w:w="7466" w:type="dxa"/>
            <w:gridSpan w:val="8"/>
            <w:vMerge w:val="continue"/>
            <w:vAlign w:val="center"/>
          </w:tcPr>
          <w:p w14:paraId="6C5C38BA">
            <w:pPr>
              <w:snapToGrid w:val="0"/>
              <w:jc w:val="left"/>
              <w:rPr>
                <w:rFonts w:asciiTheme="minorEastAsia" w:hAnsiTheme="minorEastAsia" w:eastAsiaTheme="minorEastAsia"/>
                <w:kern w:val="0"/>
                <w:sz w:val="15"/>
                <w:szCs w:val="15"/>
              </w:rPr>
            </w:pPr>
          </w:p>
        </w:tc>
      </w:tr>
    </w:tbl>
    <w:p w14:paraId="16BE997F">
      <w:pPr>
        <w:snapToGrid w:val="0"/>
        <w:spacing w:line="288" w:lineRule="auto"/>
        <w:ind w:firstLine="420" w:firstLineChars="200"/>
        <w:rPr>
          <w:rFonts w:hint="eastAsia" w:cs="宋体" w:asciiTheme="minorEastAsia" w:hAnsiTheme="minorEastAsia" w:eastAsiaTheme="minorEastAsia"/>
          <w:kern w:val="0"/>
          <w:sz w:val="21"/>
          <w:szCs w:val="21"/>
        </w:rPr>
      </w:pPr>
      <w:r>
        <w:rPr>
          <w:rFonts w:hint="eastAsia" w:cs="宋体" w:asciiTheme="minorEastAsia" w:hAnsiTheme="minorEastAsia" w:eastAsiaTheme="minorEastAsia"/>
          <w:kern w:val="0"/>
          <w:sz w:val="21"/>
          <w:szCs w:val="21"/>
        </w:rPr>
        <w:t>注：</w:t>
      </w:r>
      <w:r>
        <w:rPr>
          <w:rFonts w:cs="宋体" w:asciiTheme="minorEastAsia" w:hAnsiTheme="minorEastAsia" w:eastAsiaTheme="minorEastAsia"/>
          <w:kern w:val="0"/>
          <w:sz w:val="21"/>
          <w:szCs w:val="21"/>
        </w:rPr>
        <w:t>1</w:t>
      </w:r>
      <w:r>
        <w:rPr>
          <w:rFonts w:hint="eastAsia" w:cs="宋体" w:asciiTheme="minorEastAsia" w:hAnsiTheme="minorEastAsia" w:eastAsiaTheme="minorEastAsia"/>
          <w:kern w:val="0"/>
          <w:sz w:val="21"/>
          <w:szCs w:val="21"/>
        </w:rPr>
        <w:t xml:space="preserve"> 项目对操作人员进行安全技术交底时填写此表。</w:t>
      </w:r>
    </w:p>
    <w:p w14:paraId="44B69C5D">
      <w:pPr>
        <w:snapToGrid w:val="0"/>
        <w:spacing w:line="288" w:lineRule="auto"/>
        <w:ind w:firstLine="840" w:firstLineChars="400"/>
        <w:rPr>
          <w:rFonts w:cs="宋体" w:asciiTheme="minorEastAsia" w:hAnsiTheme="minorEastAsia" w:eastAsiaTheme="minorEastAsia"/>
          <w:kern w:val="0"/>
          <w:sz w:val="21"/>
          <w:szCs w:val="21"/>
        </w:rPr>
      </w:pPr>
      <w:r>
        <w:rPr>
          <w:rFonts w:hint="eastAsia" w:cs="宋体" w:asciiTheme="minorEastAsia" w:hAnsiTheme="minorEastAsia" w:eastAsiaTheme="minorEastAsia"/>
          <w:kern w:val="0"/>
          <w:sz w:val="21"/>
          <w:szCs w:val="21"/>
        </w:rPr>
        <w:t>2 本表由总承包单位或专业承包单位工程技术人员填写，交底人、接受交底人、</w:t>
      </w:r>
    </w:p>
    <w:p w14:paraId="58D31934">
      <w:pPr>
        <w:snapToGrid w:val="0"/>
        <w:spacing w:line="288" w:lineRule="auto"/>
        <w:ind w:left="1247" w:leftChars="459" w:hanging="283" w:hangingChars="135"/>
        <w:rPr>
          <w:rFonts w:asciiTheme="minorEastAsia" w:hAnsiTheme="minorEastAsia" w:eastAsiaTheme="minorEastAsia"/>
          <w:kern w:val="0"/>
          <w:sz w:val="21"/>
          <w:szCs w:val="21"/>
        </w:rPr>
      </w:pPr>
      <w:r>
        <w:rPr>
          <w:rFonts w:hint="eastAsia" w:cs="宋体" w:asciiTheme="minorEastAsia" w:hAnsiTheme="minorEastAsia" w:eastAsiaTheme="minorEastAsia"/>
          <w:kern w:val="0"/>
          <w:sz w:val="21"/>
          <w:szCs w:val="21"/>
        </w:rPr>
        <w:t>专职安全员各存一份。</w:t>
      </w:r>
    </w:p>
    <w:p w14:paraId="342BDEB4">
      <w:pPr>
        <w:snapToGrid w:val="0"/>
        <w:spacing w:line="288" w:lineRule="auto"/>
        <w:ind w:firstLine="840" w:firstLineChars="400"/>
        <w:rPr>
          <w:rFonts w:cs="宋体" w:asciiTheme="minorEastAsia" w:hAnsiTheme="minorEastAsia" w:eastAsiaTheme="minorEastAsia"/>
          <w:kern w:val="0"/>
          <w:sz w:val="21"/>
          <w:szCs w:val="21"/>
        </w:rPr>
      </w:pPr>
      <w:r>
        <w:rPr>
          <w:rFonts w:cs="宋体" w:asciiTheme="minorEastAsia" w:hAnsiTheme="minorEastAsia" w:eastAsiaTheme="minorEastAsia"/>
          <w:kern w:val="0"/>
          <w:sz w:val="21"/>
          <w:szCs w:val="21"/>
        </w:rPr>
        <w:t>3</w:t>
      </w:r>
      <w:r>
        <w:rPr>
          <w:rFonts w:hint="eastAsia" w:cs="宋体" w:asciiTheme="minorEastAsia" w:hAnsiTheme="minorEastAsia" w:eastAsiaTheme="minorEastAsia"/>
          <w:kern w:val="0"/>
          <w:sz w:val="21"/>
          <w:szCs w:val="21"/>
        </w:rPr>
        <w:t xml:space="preserve"> 签名栏不够时，应将签字表附后。</w:t>
      </w:r>
    </w:p>
    <w:p w14:paraId="2840EC2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k4ZTQzNGY0Mjg4NjI2MTBmYWY1MGVmNTlmNmQ1OTkifQ=="/>
  </w:docVars>
  <w:rsids>
    <w:rsidRoot w:val="1EE660D2"/>
    <w:rsid w:val="1EE660D2"/>
    <w:rsid w:val="21907669"/>
    <w:rsid w:val="460C6D72"/>
    <w:rsid w:val="4659027E"/>
    <w:rsid w:val="5EF03C78"/>
    <w:rsid w:val="691553C7"/>
    <w:rsid w:val="6E3F2F03"/>
    <w:rsid w:val="749B11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Default"/>
    <w:qFormat/>
    <w:uiPriority w:val="0"/>
    <w:pPr>
      <w:widowControl w:val="0"/>
      <w:autoSpaceDE w:val="0"/>
      <w:autoSpaceDN w:val="0"/>
      <w:adjustRightInd w:val="0"/>
    </w:pPr>
    <w:rPr>
      <w:rFonts w:ascii="仿宋_GB2312" w:hAnsi="Times New Roman" w:eastAsia="仿宋_GB2312" w:cs="仿宋_GB2312"/>
      <w:color w:val="000000"/>
      <w:kern w:val="0"/>
      <w:sz w:val="24"/>
      <w:szCs w:val="24"/>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2706</Words>
  <Characters>2748</Characters>
  <Lines>0</Lines>
  <Paragraphs>0</Paragraphs>
  <TotalTime>3</TotalTime>
  <ScaleCrop>false</ScaleCrop>
  <LinksUpToDate>false</LinksUpToDate>
  <CharactersWithSpaces>2759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2019-06-26T09:16:00Z</dcterms:created>
  <dc:creator>lenovo</dc:creator>
  <cp:lastModifiedBy>呮許伱の承諾</cp:lastModifiedBy>
  <dcterms:modified xsi:type="dcterms:W3CDTF">2025-02-13T02:43:59Z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6B2F159E218E4BAC8691024B7400F53A</vt:lpwstr>
  </property>
  <property fmtid="{D5CDD505-2E9C-101B-9397-08002B2CF9AE}" pid="4" name="KSOTemplateDocerSaveRecord">
    <vt:lpwstr>eyJoZGlkIjoiNjg1ZGYzODhiNGVmYWY1ZjdjZTJiZjExZjFiZjY3YzEiLCJ1c2VySWQiOiI2MzcwNDkyNTMifQ==</vt:lpwstr>
  </property>
</Properties>
</file>