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left"/>
      </w:pPr>
    </w:p>
    <w:p>
      <w:pPr>
        <w:jc w:val="left"/>
        <w:rPr>
          <w:rFonts w:ascii="宋体" w:hAnsi="宋体"/>
          <w:sz w:val="32"/>
          <w:szCs w:val="32"/>
        </w:rPr>
      </w:pPr>
      <w:r>
        <w:rPr>
          <w:rFonts w:hint="eastAsia"/>
        </w:rPr>
        <w:t xml:space="preserve"> </w:t>
      </w:r>
    </w:p>
    <w:p>
      <w:pPr>
        <w:jc w:val="center"/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 </w:t>
      </w:r>
    </w:p>
    <w:p>
      <w:pPr>
        <w:jc w:val="left"/>
        <w:rPr>
          <w:rFonts w:ascii="宋体" w:hAnsi="宋体"/>
          <w:b/>
          <w:bCs/>
          <w:sz w:val="24"/>
          <w:szCs w:val="24"/>
        </w:rPr>
        <w:sectPr>
          <w:pgSz w:w="12240" w:h="15840"/>
          <w:pgMar w:top="1157" w:right="1800" w:bottom="1157" w:left="1800" w:header="720" w:footer="720" w:gutter="0"/>
          <w:cols w:space="720" w:num="1"/>
        </w:sectPr>
      </w:pPr>
    </w:p>
    <w:p>
      <w:pPr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施工管理及作业活动风险分级管控清单</w:t>
      </w:r>
    </w:p>
    <w:tbl>
      <w:tblPr>
        <w:tblStyle w:val="6"/>
        <w:tblW w:w="8858" w:type="dxa"/>
        <w:tblInd w:w="-46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6"/>
        <w:gridCol w:w="1392"/>
        <w:gridCol w:w="1124"/>
        <w:gridCol w:w="530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5" w:hRule="atLeast"/>
        </w:trPr>
        <w:tc>
          <w:tcPr>
            <w:tcW w:w="1036" w:type="dxa"/>
            <w:vMerge w:val="restart"/>
            <w:vAlign w:val="center"/>
          </w:tcPr>
          <w:p>
            <w:pPr>
              <w:pStyle w:val="20"/>
              <w:spacing w:line="220" w:lineRule="exact"/>
              <w:ind w:firstLine="0" w:firstLineChars="0"/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bookmarkStart w:id="0" w:name="_GoBack"/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序号</w:t>
            </w:r>
            <w:bookmarkEnd w:id="0"/>
          </w:p>
        </w:tc>
        <w:tc>
          <w:tcPr>
            <w:tcW w:w="1392" w:type="dxa"/>
            <w:vMerge w:val="restart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</w:pPr>
          </w:p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作业活动</w:t>
            </w:r>
          </w:p>
        </w:tc>
        <w:tc>
          <w:tcPr>
            <w:tcW w:w="6430" w:type="dxa"/>
            <w:gridSpan w:val="2"/>
            <w:vMerge w:val="restart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</w:pPr>
          </w:p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风险点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5" w:hRule="atLeast"/>
        </w:trPr>
        <w:tc>
          <w:tcPr>
            <w:tcW w:w="1036" w:type="dxa"/>
            <w:vMerge w:val="continue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/>
              </w:rPr>
            </w:pPr>
          </w:p>
        </w:tc>
        <w:tc>
          <w:tcPr>
            <w:tcW w:w="1392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</w:rPr>
            </w:pPr>
          </w:p>
        </w:tc>
        <w:tc>
          <w:tcPr>
            <w:tcW w:w="6430" w:type="dxa"/>
            <w:gridSpan w:val="2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5" w:hRule="atLeast"/>
        </w:trPr>
        <w:tc>
          <w:tcPr>
            <w:tcW w:w="1036" w:type="dxa"/>
            <w:vMerge w:val="restart"/>
          </w:tcPr>
          <w:p>
            <w:pPr>
              <w:pStyle w:val="20"/>
              <w:numPr>
                <w:ilvl w:val="0"/>
                <w:numId w:val="0"/>
              </w:numPr>
              <w:spacing w:line="220" w:lineRule="exact"/>
              <w:jc w:val="both"/>
              <w:rPr>
                <w:rFonts w:hint="eastAsia" w:ascii="仿宋" w:hAnsi="仿宋" w:eastAsia="仿宋" w:cs="仿宋"/>
                <w:bCs/>
                <w:lang w:val="en-US" w:eastAsia="zh-CN"/>
              </w:rPr>
            </w:pPr>
          </w:p>
          <w:p>
            <w:pPr>
              <w:pStyle w:val="20"/>
              <w:numPr>
                <w:ilvl w:val="0"/>
                <w:numId w:val="0"/>
              </w:numPr>
              <w:spacing w:line="220" w:lineRule="exact"/>
              <w:jc w:val="both"/>
              <w:rPr>
                <w:rFonts w:hint="eastAsia" w:ascii="仿宋" w:hAnsi="仿宋" w:eastAsia="仿宋" w:cs="仿宋"/>
                <w:bCs/>
                <w:lang w:val="en-US" w:eastAsia="zh-CN"/>
              </w:rPr>
            </w:pPr>
          </w:p>
          <w:p>
            <w:pPr>
              <w:pStyle w:val="20"/>
              <w:numPr>
                <w:ilvl w:val="0"/>
                <w:numId w:val="0"/>
              </w:numPr>
              <w:spacing w:line="220" w:lineRule="exact"/>
              <w:jc w:val="both"/>
              <w:rPr>
                <w:rFonts w:hint="eastAsia" w:ascii="仿宋" w:hAnsi="仿宋" w:eastAsia="仿宋" w:cs="仿宋"/>
                <w:bCs/>
                <w:lang w:val="en-US" w:eastAsia="zh-CN"/>
              </w:rPr>
            </w:pPr>
          </w:p>
          <w:p>
            <w:pPr>
              <w:pStyle w:val="20"/>
              <w:numPr>
                <w:ilvl w:val="0"/>
                <w:numId w:val="0"/>
              </w:numPr>
              <w:spacing w:line="220" w:lineRule="exact"/>
              <w:jc w:val="both"/>
              <w:rPr>
                <w:rFonts w:hint="eastAsia" w:ascii="仿宋" w:hAnsi="仿宋" w:eastAsia="仿宋" w:cs="仿宋"/>
                <w:bCs/>
                <w:lang w:val="en-US" w:eastAsia="zh-CN"/>
              </w:rPr>
            </w:pPr>
          </w:p>
          <w:p>
            <w:pPr>
              <w:pStyle w:val="20"/>
              <w:numPr>
                <w:ilvl w:val="0"/>
                <w:numId w:val="0"/>
              </w:numPr>
              <w:spacing w:line="220" w:lineRule="exact"/>
              <w:jc w:val="both"/>
              <w:rPr>
                <w:rFonts w:hint="eastAsia" w:ascii="仿宋" w:hAnsi="仿宋" w:eastAsia="仿宋" w:cs="仿宋"/>
                <w:bCs/>
                <w:lang w:val="en-US" w:eastAsia="zh-CN"/>
              </w:rPr>
            </w:pPr>
          </w:p>
          <w:p>
            <w:pPr>
              <w:pStyle w:val="20"/>
              <w:numPr>
                <w:ilvl w:val="0"/>
                <w:numId w:val="0"/>
              </w:numPr>
              <w:spacing w:line="220" w:lineRule="exact"/>
              <w:jc w:val="both"/>
              <w:rPr>
                <w:rFonts w:hint="eastAsia" w:ascii="仿宋" w:hAnsi="仿宋" w:eastAsia="仿宋" w:cs="仿宋"/>
                <w:bCs/>
                <w:lang w:val="en-US" w:eastAsia="zh-CN"/>
              </w:rPr>
            </w:pPr>
          </w:p>
          <w:p>
            <w:pPr>
              <w:pStyle w:val="20"/>
              <w:numPr>
                <w:ilvl w:val="0"/>
                <w:numId w:val="0"/>
              </w:numPr>
              <w:spacing w:line="220" w:lineRule="exact"/>
              <w:jc w:val="both"/>
              <w:rPr>
                <w:rFonts w:hint="eastAsia" w:ascii="仿宋" w:hAnsi="仿宋" w:eastAsia="仿宋" w:cs="仿宋"/>
                <w:bCs/>
                <w:lang w:val="en-US" w:eastAsia="zh-CN"/>
              </w:rPr>
            </w:pPr>
          </w:p>
          <w:p>
            <w:pPr>
              <w:pStyle w:val="20"/>
              <w:numPr>
                <w:ilvl w:val="0"/>
                <w:numId w:val="0"/>
              </w:numPr>
              <w:spacing w:line="220" w:lineRule="exact"/>
              <w:jc w:val="both"/>
              <w:rPr>
                <w:rFonts w:hint="eastAsia" w:ascii="仿宋" w:hAnsi="仿宋" w:eastAsia="仿宋" w:cs="仿宋"/>
                <w:bCs/>
                <w:lang w:val="en-US" w:eastAsia="zh-CN"/>
              </w:rPr>
            </w:pPr>
          </w:p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lang w:val="en-US" w:eastAsia="zh-CN" w:bidi="ar"/>
              </w:rPr>
            </w:pPr>
          </w:p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lang w:val="en-US" w:eastAsia="zh-CN" w:bidi="ar"/>
              </w:rPr>
              <w:t>施工</w:t>
            </w:r>
          </w:p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lang w:val="en-US" w:eastAsia="zh-CN" w:bidi="ar"/>
              </w:rPr>
              <w:t>准备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lang w:val="en-US" w:eastAsia="zh-CN" w:bidi="ar"/>
              </w:rPr>
              <w:t>阶段</w:t>
            </w:r>
          </w:p>
        </w:tc>
        <w:tc>
          <w:tcPr>
            <w:tcW w:w="1392" w:type="dxa"/>
            <w:vMerge w:val="restart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lang w:bidi="ar"/>
              </w:rPr>
              <w:t>一、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lang w:bidi="ar"/>
              </w:rPr>
              <w:t>施工管理</w:t>
            </w: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hint="default" w:ascii="仿宋" w:hAnsi="仿宋" w:eastAsia="仿宋" w:cs="仿宋"/>
                <w:color w:val="000000"/>
                <w:kern w:val="0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1.1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未制定施工安全管理专项方案、危大工程没有组织专家论证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1.2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安全专项方案没有履行审批手续就组织施工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1.3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安全管理制度不健全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1.4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安全生产应急救援预案不健全、未组织演练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1.5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未设置安全管理机构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5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1.6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未与分包签订安全生产管理协议书、交叉作业安全管理协议书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1.7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安全隐患整改不及时、违章指挥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1.8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无安全技术交底/安全技术交底缺少针对性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1.9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未按要求进行安全检查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1.10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使用不合格机械设备，维修保养不到位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1.11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管理人员及作业工人未经过安全教育培训、考核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5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1.12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沥青拌合站拆装、高杆灯安装等起重吊装区域未设置警戒线，没有安全员旁站监督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1.13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大型机械设备未进行验收投入施工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1.14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允许无证人员操作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036" w:type="dxa"/>
            <w:vMerge w:val="restart"/>
          </w:tcPr>
          <w:p>
            <w:pPr>
              <w:pStyle w:val="20"/>
              <w:numPr>
                <w:ilvl w:val="0"/>
                <w:numId w:val="0"/>
              </w:numPr>
              <w:spacing w:line="220" w:lineRule="exact"/>
              <w:ind w:leftChars="0"/>
              <w:jc w:val="both"/>
              <w:rPr>
                <w:rFonts w:hint="eastAsia" w:ascii="仿宋" w:hAnsi="仿宋" w:eastAsia="仿宋" w:cs="仿宋"/>
                <w:bCs/>
                <w:lang w:val="en-US" w:eastAsia="zh-CN"/>
              </w:rPr>
            </w:pPr>
          </w:p>
          <w:p>
            <w:pPr>
              <w:pStyle w:val="20"/>
              <w:numPr>
                <w:ilvl w:val="0"/>
                <w:numId w:val="0"/>
              </w:numPr>
              <w:spacing w:line="220" w:lineRule="exact"/>
              <w:ind w:leftChars="0"/>
              <w:jc w:val="both"/>
              <w:rPr>
                <w:rFonts w:hint="eastAsia" w:ascii="仿宋" w:hAnsi="仿宋" w:eastAsia="仿宋" w:cs="仿宋"/>
                <w:bCs/>
                <w:lang w:val="en-US" w:eastAsia="zh-CN"/>
              </w:rPr>
            </w:pPr>
          </w:p>
          <w:p>
            <w:pPr>
              <w:pStyle w:val="20"/>
              <w:numPr>
                <w:ilvl w:val="0"/>
                <w:numId w:val="0"/>
              </w:numPr>
              <w:spacing w:line="220" w:lineRule="exact"/>
              <w:ind w:leftChars="0"/>
              <w:jc w:val="both"/>
              <w:rPr>
                <w:rFonts w:hint="eastAsia" w:ascii="仿宋" w:hAnsi="仿宋" w:eastAsia="仿宋" w:cs="仿宋"/>
                <w:bCs/>
                <w:lang w:val="en-US" w:eastAsia="zh-CN"/>
              </w:rPr>
            </w:pPr>
          </w:p>
          <w:p>
            <w:pPr>
              <w:pStyle w:val="20"/>
              <w:numPr>
                <w:ilvl w:val="0"/>
                <w:numId w:val="0"/>
              </w:numPr>
              <w:spacing w:line="220" w:lineRule="exact"/>
              <w:ind w:leftChars="0"/>
              <w:jc w:val="both"/>
              <w:rPr>
                <w:rFonts w:hint="eastAsia" w:ascii="仿宋" w:hAnsi="仿宋" w:eastAsia="仿宋" w:cs="仿宋"/>
                <w:bCs/>
                <w:lang w:val="en-US" w:eastAsia="zh-CN"/>
              </w:rPr>
            </w:pPr>
          </w:p>
          <w:p>
            <w:pPr>
              <w:pStyle w:val="20"/>
              <w:numPr>
                <w:ilvl w:val="0"/>
                <w:numId w:val="0"/>
              </w:numPr>
              <w:spacing w:line="220" w:lineRule="exact"/>
              <w:ind w:leftChars="0"/>
              <w:jc w:val="both"/>
              <w:rPr>
                <w:rFonts w:hint="eastAsia" w:ascii="仿宋" w:hAnsi="仿宋" w:eastAsia="仿宋" w:cs="仿宋"/>
                <w:bCs/>
                <w:lang w:val="en-US" w:eastAsia="zh-CN"/>
              </w:rPr>
            </w:pPr>
          </w:p>
          <w:p>
            <w:pPr>
              <w:pStyle w:val="20"/>
              <w:numPr>
                <w:ilvl w:val="0"/>
                <w:numId w:val="0"/>
              </w:numPr>
              <w:spacing w:line="220" w:lineRule="exact"/>
              <w:ind w:leftChars="0"/>
              <w:jc w:val="both"/>
              <w:rPr>
                <w:rFonts w:hint="eastAsia" w:ascii="仿宋" w:hAnsi="仿宋" w:eastAsia="仿宋" w:cs="仿宋"/>
                <w:bCs/>
                <w:lang w:val="en-US" w:eastAsia="zh-CN"/>
              </w:rPr>
            </w:pPr>
          </w:p>
          <w:p>
            <w:pPr>
              <w:pStyle w:val="20"/>
              <w:numPr>
                <w:ilvl w:val="0"/>
                <w:numId w:val="0"/>
              </w:numPr>
              <w:spacing w:line="220" w:lineRule="exact"/>
              <w:ind w:leftChars="0"/>
              <w:jc w:val="both"/>
              <w:rPr>
                <w:rFonts w:hint="eastAsia" w:ascii="仿宋" w:hAnsi="仿宋" w:eastAsia="仿宋" w:cs="仿宋"/>
                <w:bCs/>
                <w:lang w:val="en-US" w:eastAsia="zh-CN"/>
              </w:rPr>
            </w:pPr>
          </w:p>
          <w:p>
            <w:pPr>
              <w:pStyle w:val="20"/>
              <w:numPr>
                <w:ilvl w:val="0"/>
                <w:numId w:val="0"/>
              </w:numPr>
              <w:spacing w:line="220" w:lineRule="exact"/>
              <w:ind w:leftChars="0"/>
              <w:jc w:val="both"/>
              <w:rPr>
                <w:rFonts w:hint="eastAsia" w:ascii="仿宋" w:hAnsi="仿宋" w:eastAsia="仿宋" w:cs="仿宋"/>
                <w:bCs/>
                <w:lang w:val="en-US" w:eastAsia="zh-CN"/>
              </w:rPr>
            </w:pPr>
          </w:p>
          <w:p>
            <w:pPr>
              <w:pStyle w:val="20"/>
              <w:numPr>
                <w:ilvl w:val="0"/>
                <w:numId w:val="0"/>
              </w:numPr>
              <w:spacing w:line="220" w:lineRule="exact"/>
              <w:ind w:leftChars="0"/>
              <w:jc w:val="both"/>
              <w:rPr>
                <w:rFonts w:hint="eastAsia" w:ascii="仿宋" w:hAnsi="仿宋" w:eastAsia="仿宋" w:cs="仿宋"/>
                <w:bCs/>
                <w:lang w:val="en-US" w:eastAsia="zh-CN"/>
              </w:rPr>
            </w:pPr>
          </w:p>
          <w:p>
            <w:pPr>
              <w:pStyle w:val="20"/>
              <w:numPr>
                <w:ilvl w:val="0"/>
                <w:numId w:val="0"/>
              </w:numPr>
              <w:spacing w:line="220" w:lineRule="exact"/>
              <w:ind w:leftChars="0"/>
              <w:jc w:val="both"/>
              <w:rPr>
                <w:rFonts w:hint="eastAsia" w:ascii="仿宋" w:hAnsi="仿宋" w:eastAsia="仿宋" w:cs="仿宋"/>
                <w:bCs/>
                <w:lang w:val="en-US" w:eastAsia="zh-CN"/>
              </w:rPr>
            </w:pPr>
          </w:p>
          <w:p>
            <w:pPr>
              <w:pStyle w:val="20"/>
              <w:numPr>
                <w:ilvl w:val="0"/>
                <w:numId w:val="0"/>
              </w:numPr>
              <w:spacing w:line="220" w:lineRule="exact"/>
              <w:ind w:leftChars="0"/>
              <w:jc w:val="both"/>
              <w:rPr>
                <w:rFonts w:hint="eastAsia" w:ascii="仿宋" w:hAnsi="仿宋" w:eastAsia="仿宋" w:cs="仿宋"/>
                <w:bCs/>
                <w:lang w:val="en-US" w:eastAsia="zh-CN"/>
              </w:rPr>
            </w:pPr>
          </w:p>
          <w:p>
            <w:pPr>
              <w:pStyle w:val="20"/>
              <w:numPr>
                <w:ilvl w:val="0"/>
                <w:numId w:val="0"/>
              </w:numPr>
              <w:spacing w:line="220" w:lineRule="exact"/>
              <w:ind w:leftChars="0"/>
              <w:jc w:val="both"/>
              <w:rPr>
                <w:rFonts w:hint="eastAsia" w:ascii="仿宋" w:hAnsi="仿宋" w:eastAsia="仿宋" w:cs="仿宋"/>
                <w:bCs/>
                <w:lang w:val="en-US" w:eastAsia="zh-CN"/>
              </w:rPr>
            </w:pPr>
          </w:p>
          <w:p>
            <w:pPr>
              <w:pStyle w:val="20"/>
              <w:numPr>
                <w:ilvl w:val="0"/>
                <w:numId w:val="0"/>
              </w:numPr>
              <w:spacing w:line="220" w:lineRule="exact"/>
              <w:ind w:leftChars="0"/>
              <w:jc w:val="both"/>
              <w:rPr>
                <w:rFonts w:hint="eastAsia" w:ascii="仿宋" w:hAnsi="仿宋" w:eastAsia="仿宋" w:cs="仿宋"/>
                <w:bCs/>
                <w:lang w:val="en-US" w:eastAsia="zh-CN"/>
              </w:rPr>
            </w:pPr>
          </w:p>
          <w:p>
            <w:pPr>
              <w:pStyle w:val="20"/>
              <w:numPr>
                <w:ilvl w:val="0"/>
                <w:numId w:val="0"/>
              </w:numPr>
              <w:spacing w:line="220" w:lineRule="exact"/>
              <w:ind w:leftChars="0"/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</w:pPr>
          </w:p>
          <w:p>
            <w:pPr>
              <w:pStyle w:val="20"/>
              <w:numPr>
                <w:ilvl w:val="0"/>
                <w:numId w:val="0"/>
              </w:numPr>
              <w:spacing w:line="220" w:lineRule="exact"/>
              <w:ind w:leftChars="0"/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施工</w:t>
            </w:r>
          </w:p>
          <w:p>
            <w:pPr>
              <w:pStyle w:val="20"/>
              <w:numPr>
                <w:ilvl w:val="0"/>
                <w:numId w:val="0"/>
              </w:numPr>
              <w:spacing w:line="220" w:lineRule="exact"/>
              <w:ind w:leftChars="0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阶段</w:t>
            </w:r>
          </w:p>
        </w:tc>
        <w:tc>
          <w:tcPr>
            <w:tcW w:w="1392" w:type="dxa"/>
            <w:vMerge w:val="restart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lang w:bidi="ar"/>
              </w:rPr>
              <w:t>二、地基基础施工作业</w:t>
            </w: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2.1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基坑施工时放坡不符合规定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5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2.2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开挖深度超过2</w:t>
            </w:r>
            <w:r>
              <w:rPr>
                <w:rStyle w:val="13"/>
                <w:rFonts w:hint="default" w:ascii="仿宋" w:hAnsi="仿宋" w:eastAsia="仿宋" w:cs="仿宋"/>
                <w:sz w:val="21"/>
                <w:szCs w:val="21"/>
                <w:lang w:bidi="ar"/>
              </w:rPr>
              <w:t>米的沟槽，未按标准设围拦防护和密目安全网封挡</w:t>
            </w:r>
            <w:r>
              <w:rPr>
                <w:rStyle w:val="13"/>
                <w:rFonts w:hint="eastAsia" w:ascii="仿宋" w:hAnsi="仿宋" w:eastAsia="仿宋" w:cs="仿宋"/>
                <w:sz w:val="21"/>
                <w:szCs w:val="21"/>
                <w:lang w:eastAsia="zh-CN" w:bidi="ar"/>
              </w:rPr>
              <w:t>、</w:t>
            </w:r>
            <w:r>
              <w:rPr>
                <w:rStyle w:val="13"/>
                <w:rFonts w:hint="default" w:ascii="仿宋" w:hAnsi="仿宋" w:eastAsia="仿宋" w:cs="仿宋"/>
                <w:sz w:val="21"/>
                <w:szCs w:val="21"/>
                <w:lang w:bidi="ar"/>
              </w:rPr>
              <w:t>未搭设上下通道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5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2.3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00" w:lineRule="atLeast"/>
              <w:jc w:val="left"/>
              <w:textAlignment w:val="center"/>
              <w:rPr>
                <w:rFonts w:hint="eastAsia" w:ascii="仿宋" w:hAnsi="仿宋" w:eastAsia="仿宋" w:cs="仿宋"/>
                <w:color w:val="000000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Style w:val="13"/>
                <w:rFonts w:ascii="仿宋" w:hAnsi="仿宋" w:eastAsia="仿宋" w:cs="仿宋"/>
                <w:lang w:eastAsia="zh-CN" w:bidi="ar"/>
              </w:rPr>
              <w:t>强夯等</w:t>
            </w:r>
            <w:r>
              <w:rPr>
                <w:rStyle w:val="13"/>
                <w:rFonts w:ascii="仿宋" w:hAnsi="仿宋" w:eastAsia="仿宋" w:cs="仿宋"/>
                <w:lang w:bidi="ar"/>
              </w:rPr>
              <w:t>危险</w:t>
            </w:r>
            <w:r>
              <w:rPr>
                <w:rStyle w:val="13"/>
                <w:rFonts w:ascii="仿宋" w:hAnsi="仿宋" w:eastAsia="仿宋" w:cs="仿宋"/>
                <w:lang w:eastAsia="zh-CN" w:bidi="ar"/>
              </w:rPr>
              <w:t>区域</w:t>
            </w:r>
            <w:r>
              <w:rPr>
                <w:rStyle w:val="13"/>
                <w:rFonts w:ascii="仿宋" w:hAnsi="仿宋" w:eastAsia="仿宋" w:cs="仿宋"/>
                <w:lang w:bidi="ar"/>
              </w:rPr>
              <w:t>未设</w:t>
            </w:r>
            <w:r>
              <w:rPr>
                <w:rStyle w:val="13"/>
                <w:rFonts w:ascii="仿宋" w:hAnsi="仿宋" w:eastAsia="仿宋" w:cs="仿宋"/>
                <w:lang w:eastAsia="zh-CN" w:bidi="ar"/>
              </w:rPr>
              <w:t>警戒线及警示标识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2.4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在沟、坑、槽边沿1</w:t>
            </w:r>
            <w:r>
              <w:rPr>
                <w:rStyle w:val="13"/>
                <w:rFonts w:hint="default" w:ascii="仿宋" w:hAnsi="仿宋" w:eastAsia="仿宋" w:cs="仿宋"/>
                <w:sz w:val="21"/>
                <w:szCs w:val="21"/>
                <w:lang w:bidi="ar"/>
              </w:rPr>
              <w:t>米内堆土、堆料、停置机具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2.5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深坑基础护壁不符合规定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2.6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机械设备施工与槽边安全距离不符合规定，又无措施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2.7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未设置有效的排水挡水措施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restart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</w:p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</w:p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</w:p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lang w:bidi="ar"/>
              </w:rPr>
              <w:t>三、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lang w:bidi="ar"/>
              </w:rPr>
              <w:t>土方作业</w:t>
            </w: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3.1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挖掘机回转半径2米内有人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3.2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挖掘机后视镜没有安装使用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3.3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挖掘机旋转行驶中，高速和急转弯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3.4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挖掘机下坡时，空挡滑行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3.5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坡边两侧无夜间照明和防护栏杆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3.6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挖掘机未定期维修和保养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3.7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驾驶室外，乘坐和站立人员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3.8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装载机未设专人就位指挥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3.9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施工现场内装载机超过时速5公里行驶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3.10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装载机超载行驶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restart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</w:p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</w:p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</w:p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</w:p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</w:p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</w:p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</w:p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</w:p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/>
                <w:bCs w:val="0"/>
                <w:lang w:eastAsia="zh-CN"/>
              </w:rPr>
              <w:t>四、爆破作业</w:t>
            </w: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4.1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岩凿机临近边坡作业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4.2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岩凿钻机风管破旧、老化、破损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1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4.3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岩凿机断杆伤人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4.4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岩凿机钻孔时产生大量粉尘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4.5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多装药造成单耗过大、填塞长度减小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4.6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雷雨天气作业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4.7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未按要求进行警戒</w:t>
            </w:r>
            <w:r>
              <w:rPr>
                <w:rFonts w:hint="eastAsia" w:ascii="仿宋" w:hAnsi="仿宋" w:eastAsia="仿宋" w:cs="仿宋"/>
                <w:color w:val="000000"/>
                <w:kern w:val="0"/>
                <w:lang w:eastAsia="zh-CN" w:bidi="ar"/>
              </w:rPr>
              <w:t>、</w:t>
            </w: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警戒人员不到位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4.8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警戒点未携带有效的通信工具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hint="default" w:ascii="仿宋" w:hAnsi="仿宋" w:eastAsia="仿宋" w:cs="仿宋"/>
                <w:color w:val="000000"/>
                <w:kern w:val="0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4.9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警戒区内人员、车辆未撤离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hint="default" w:ascii="仿宋" w:hAnsi="仿宋" w:eastAsia="仿宋" w:cs="仿宋"/>
                <w:color w:val="000000"/>
                <w:kern w:val="0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4.10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作业场地附近堆放剩余爆破物品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hint="default" w:ascii="仿宋" w:hAnsi="仿宋" w:eastAsia="仿宋" w:cs="仿宋"/>
                <w:color w:val="000000"/>
                <w:kern w:val="0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4.11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爆破产生飞石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7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hint="default" w:ascii="仿宋" w:hAnsi="仿宋" w:eastAsia="仿宋" w:cs="仿宋"/>
                <w:color w:val="000000"/>
                <w:kern w:val="0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4.12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早爆、拒爆或盲爆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restart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lang w:eastAsia="zh-CN" w:bidi="ar"/>
              </w:rPr>
              <w:t>五</w:t>
            </w: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lang w:bidi="ar"/>
              </w:rPr>
              <w:t>、脚手架搭拆作业</w:t>
            </w: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5.1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扣件表面有裂纹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5.2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扣件、钢管无厂家检测报告，“三无”产品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5.3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非架子工操作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5.4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拆除脚手架时，没设警戒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5.5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操作面未满铺脚手板，下层未兜设水平接网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5.6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操作面未设防护栏杆和挡脚板，或立挂安全网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5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5.7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建筑物顶部的架子未按规定高于屋面，高出部分未设护拦和立挂安全网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5.8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脚手架未设上下通道或设置不符合要求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5.9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脚手架基础未平整夯实，无排水措施。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5.10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脚手架底部未按规定垫木和加绑扫地杆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5.11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架体与建筑物未按规定拉结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5.12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未按规定设置剪刀撑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5.13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剪刀撑搭设不符合设计要求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5.14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立杆、大横杆、小横杆间距不符合规范要求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5.</w:t>
            </w: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15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各杆件之间搭结不符合规定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5.</w:t>
            </w: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16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未使用密目安全网沿外架子内侧进行封闭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restart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lang w:eastAsia="zh-CN" w:bidi="ar"/>
              </w:rPr>
              <w:t>六</w:t>
            </w: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lang w:bidi="ar"/>
              </w:rPr>
              <w:t>、模板安拆与存放</w:t>
            </w: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6.1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模板的支撑系统无设计计算或支撑系统不符合设计要求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6.2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各种模板堆放不整齐、超高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6.3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模板上施工荷载超过规定或堆料不均匀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6.4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模板支撑固定在外脚手架上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6.5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模板拆除前无砼强度报告或强度未达到规定提前拆模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5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6.6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模板工程作业高度在2米以上（含2米）时，未搭设安全防护设施。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6.7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拆模未按照先支后拆、后支先拆的顺序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5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6.8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拆模未按照先拆非承重模板，后拆承重的模板及支撑的顺序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6.9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拆模作业时，未设警戒区，严禁下方有人进入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6.10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模板吊运过程中搭挂其他物料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6.11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模板支撑系统不牢固可靠，未设防护设施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6.12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模板上粘结附带混凝土块等清理不及时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restart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lang w:eastAsia="zh-CN" w:bidi="ar"/>
              </w:rPr>
              <w:t>七</w:t>
            </w: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lang w:bidi="ar"/>
              </w:rPr>
              <w:t>、钢结构施工作业</w:t>
            </w: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7.1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吊索具、卡环不匹配造成受力不均匀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7.2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工具袋不正确放置在钢构件上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7.3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安全保险直径选择不符合技术要求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5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7.4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吊装钢梁时未设安全保险绳或安全保险绳安装不符合规范要求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7.5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钢结构作业时，扳手、榔头等小型工具坠落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7.6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紧固高强螺栓时，不正确使用高强螺栓电动扭力扳手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7.7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钢柱校正时不正确使用钢丝绳和马鞍式卡口锁紧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7.8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焊工在钢梁上焊接作业时未系安全带、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7.9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焊工在钢梁上焊接作业时未使用接火盆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7.10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吊耳焊接不牢固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7.11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堆放的物料未放在压型钢板的主、次梁上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7.12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钢结构外临边未按规定设置水平安全挑网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restart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lang w:eastAsia="zh-CN" w:bidi="ar"/>
              </w:rPr>
              <w:t>八</w:t>
            </w: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lang w:bidi="ar"/>
              </w:rPr>
              <w:t>、场道沥青施工作业</w:t>
            </w: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8.1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违反安全技术交底操作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8.2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劳动防护用品不合格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8.3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施工人员未经安全教育上岗操作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8.4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沥青喷洒烫伤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8.5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试验室仪器漏电、短路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8.6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转动设备伤人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8.7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高温、高压伤人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8.8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沥青中毒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8.9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沥青试验室沥青烟气排放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8.10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电动击实仪噪声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8.11</w:t>
            </w:r>
          </w:p>
        </w:tc>
        <w:tc>
          <w:tcPr>
            <w:tcW w:w="5306" w:type="dxa"/>
            <w:vAlign w:val="bottom"/>
          </w:tcPr>
          <w:p>
            <w:pPr>
              <w:widowControl/>
              <w:spacing w:line="220" w:lineRule="exact"/>
              <w:jc w:val="left"/>
              <w:textAlignment w:val="bottom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搅拌机停机检修，停电未设专人监护，机械启动伤人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8.12</w:t>
            </w:r>
          </w:p>
        </w:tc>
        <w:tc>
          <w:tcPr>
            <w:tcW w:w="5306" w:type="dxa"/>
            <w:vAlign w:val="bottom"/>
          </w:tcPr>
          <w:p>
            <w:pPr>
              <w:widowControl/>
              <w:spacing w:line="220" w:lineRule="exact"/>
              <w:jc w:val="left"/>
              <w:textAlignment w:val="bottom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违反职业岗位规定，派不符合要求的人员上岗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8.</w:t>
            </w: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13</w:t>
            </w:r>
          </w:p>
        </w:tc>
        <w:tc>
          <w:tcPr>
            <w:tcW w:w="5306" w:type="dxa"/>
            <w:vAlign w:val="bottom"/>
          </w:tcPr>
          <w:p>
            <w:pPr>
              <w:widowControl/>
              <w:spacing w:line="220" w:lineRule="exact"/>
              <w:jc w:val="left"/>
              <w:textAlignment w:val="bottom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清理搅拌机工作电压不合适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restart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lang w:eastAsia="zh-CN" w:bidi="ar"/>
              </w:rPr>
              <w:t>九</w:t>
            </w: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lang w:bidi="ar"/>
              </w:rPr>
              <w:t>、高处作业</w:t>
            </w: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9.1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人字梯等移动式架子搭投、使用不规范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9.2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移动作业平台、升降平台未经过验收使用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9.3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抛、扔等违反安全操作规程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9.4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酒后高处作业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9.5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恐高症者或有其他心理因素干扰者从事高空作业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9.6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攀坐不安全位置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9.7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癫痫病等病史者从事高空作业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restart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lang w:eastAsia="zh-CN" w:bidi="ar"/>
              </w:rPr>
              <w:t>十</w:t>
            </w: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lang w:bidi="ar"/>
              </w:rPr>
              <w:t>、临时用电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both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10.1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保护接地、保护接零混乱或共存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10.2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保护零线未单独敷设，并作它用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10.3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使用保护零线作负荷线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10.4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配电箱或漏电保护器未使用定点厂家的定点产品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10.5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开关箱无漏电保护器或漏电保护器失灵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5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10.6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固定式设备未使用专用开关箱，未执行“一机、一闸、一漏、一箱”的规定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10.7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漏电保护器装置参数不匹配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10.8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闸具、熔断器参数与设备容量不匹配，安装不符合要求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5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10.9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配电箱的箱门内无系统图和开关电器未标明用途，未设专人负责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10.10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电箱安装位置不当，周围杂物多，没有明显的安全标志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5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10.11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电箱内的电器和导线有带电明露部分，相线使用端子板连接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10.12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电箱无门、无锁、无防雨措施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10.</w:t>
            </w: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13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电箱内有杂物、不整齐、不清洁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10.14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配电线路的电线老化，破皮未包扎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10.</w:t>
            </w: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15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在潮湿场所不使用安全电压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10.</w:t>
            </w: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16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36</w:t>
            </w:r>
            <w:r>
              <w:rPr>
                <w:rStyle w:val="13"/>
                <w:rFonts w:hint="default" w:ascii="仿宋" w:hAnsi="仿宋" w:eastAsia="仿宋" w:cs="仿宋"/>
                <w:sz w:val="21"/>
                <w:szCs w:val="21"/>
                <w:lang w:bidi="ar"/>
              </w:rPr>
              <w:t>伏安全电压照明线路混乱和接头处未用绝缘胶布包扎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10.</w:t>
            </w: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17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照明专用回路无漏电保护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10.</w:t>
            </w: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18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室内灯具安装高度低于2.4</w:t>
            </w:r>
            <w:r>
              <w:rPr>
                <w:rStyle w:val="13"/>
                <w:rFonts w:hint="default" w:ascii="仿宋" w:hAnsi="仿宋" w:eastAsia="仿宋" w:cs="仿宋"/>
                <w:sz w:val="21"/>
                <w:szCs w:val="21"/>
                <w:lang w:bidi="ar"/>
              </w:rPr>
              <w:t>米，未使用安全电压供电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10.</w:t>
            </w: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19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手持照明灯未使用36</w:t>
            </w:r>
            <w:r>
              <w:rPr>
                <w:rStyle w:val="13"/>
                <w:rFonts w:hint="default" w:ascii="仿宋" w:hAnsi="仿宋" w:eastAsia="仿宋" w:cs="仿宋"/>
                <w:sz w:val="21"/>
                <w:szCs w:val="21"/>
                <w:lang w:bidi="ar"/>
              </w:rPr>
              <w:t>伏及以下电源供电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10.</w:t>
            </w: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20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在高压架空输电线下方或上方作业无保护措施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10.</w:t>
            </w: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21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使用无生产厂家、无合格证的配电箱（电缆）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10.</w:t>
            </w: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22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维修用电设备时未切断电源、未设专人监护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10.23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非电工操作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restart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lang w:bidi="ar"/>
              </w:rPr>
              <w:t>十</w:t>
            </w: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lang w:eastAsia="zh-CN" w:bidi="ar"/>
              </w:rPr>
              <w:t>一</w:t>
            </w: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lang w:bidi="ar"/>
              </w:rPr>
              <w:t>、焊接作业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both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11.1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焊渣阴燃引起明火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11.2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电焊机无防触电装置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11.3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电焊机未单独设开关和漏电保护装置，外壳未做接零保护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5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11.4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电焊机一次线长度大于5</w:t>
            </w:r>
            <w:r>
              <w:rPr>
                <w:rStyle w:val="13"/>
                <w:rFonts w:hint="default" w:ascii="仿宋" w:hAnsi="仿宋" w:eastAsia="仿宋" w:cs="仿宋"/>
                <w:sz w:val="21"/>
                <w:szCs w:val="21"/>
                <w:lang w:bidi="ar"/>
              </w:rPr>
              <w:t>米，二次线长度大于</w:t>
            </w: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30</w:t>
            </w:r>
            <w:r>
              <w:rPr>
                <w:rStyle w:val="13"/>
                <w:rFonts w:hint="default" w:ascii="仿宋" w:hAnsi="仿宋" w:eastAsia="仿宋" w:cs="仿宋"/>
                <w:sz w:val="21"/>
                <w:szCs w:val="21"/>
                <w:lang w:bidi="ar"/>
              </w:rPr>
              <w:t>米，两侧接线未压牢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11.5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电焊机</w:t>
            </w:r>
            <w:r>
              <w:rPr>
                <w:rStyle w:val="13"/>
                <w:rFonts w:hint="default" w:ascii="仿宋" w:hAnsi="仿宋" w:eastAsia="仿宋" w:cs="仿宋"/>
                <w:sz w:val="21"/>
                <w:szCs w:val="21"/>
                <w:lang w:bidi="ar"/>
              </w:rPr>
              <w:t>未安装防护罩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11.6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电焊机放置的地方没有防雨、防砸措施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11.7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电焊机周围堆放易燃易爆物品和其他杂物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11.8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电焊机的焊钳和焊把线有破损或绝缘不好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5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11.9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焊把线与回路零线没有双线到位，借用金属管道、脚手架、轨道等作回路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11.10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二次线泡在水中，并被物料压在下方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11.11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在密闭场所施焊无排风措施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11.12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氧气瓶、乙炔瓶和焊点间的距离超标准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11.</w:t>
            </w: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13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焊割时未配备灭火器材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11.14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焊接时未有监护（看火）人员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11.</w:t>
            </w: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15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操作人员未领取动火证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11.</w:t>
            </w: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16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粉尘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11.</w:t>
            </w: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17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弧光辐射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11.</w:t>
            </w: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18</w:t>
            </w:r>
          </w:p>
        </w:tc>
        <w:tc>
          <w:tcPr>
            <w:tcW w:w="5306" w:type="dxa"/>
            <w:vAlign w:val="bottom"/>
          </w:tcPr>
          <w:p>
            <w:pPr>
              <w:widowControl/>
              <w:spacing w:line="220" w:lineRule="exact"/>
              <w:jc w:val="left"/>
              <w:textAlignment w:val="bottom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电气焊明火作业违章操作或作业垂直下方有孔洞未封闭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11.</w:t>
            </w: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19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焊接作业和木工、油漆、防水交叉作业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11.</w:t>
            </w: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20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非焊工操作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restart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lang w:bidi="ar"/>
              </w:rPr>
              <w:t>十</w:t>
            </w: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lang w:eastAsia="zh-CN" w:bidi="ar"/>
              </w:rPr>
              <w:t>二</w:t>
            </w: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lang w:bidi="ar"/>
              </w:rPr>
              <w:t>、大型设备吊装作业</w:t>
            </w: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12.1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吊装重物质量不明、超极限吊装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12.2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拌和站设备拆、装未设置警戒带，未旁站监督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12.3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不正确使用（选用）吊索具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12.4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高杆灯安装无方案、未设置警戒带，未旁站监督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12.5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流动式起重机未进场报验、人员资格未报审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12.6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允许无证人员操作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12.7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雨雪大风天气吊装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restart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lang w:bidi="ar"/>
              </w:rPr>
              <w:t>十</w:t>
            </w: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lang w:eastAsia="zh-CN" w:bidi="ar"/>
              </w:rPr>
              <w:t>三</w:t>
            </w: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lang w:bidi="ar"/>
              </w:rPr>
              <w:t>、机械作业</w:t>
            </w: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13.1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大型机械作业未采取消音、吸音措施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13.2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场道施工摊铺机无防护设施或防护设施有缺陷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13.3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套丝机等机械设备未做保护接零、无漏电保护器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13.4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设备无人操作时未切断电源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13.5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设备未按时进行保养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5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13.6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当发现设备漏保、失修或超载带病运转时，未按规定停止使用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5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13.7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在压路机碾压的过程中，压路机前进后退过程中，与操作的工人互相交叉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5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13.8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在送料带工作作态时，工作人员在其底下检查机器或清理废渣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13.9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设备发生故障时，未切断电源检修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hint="default" w:ascii="仿宋" w:hAnsi="仿宋" w:eastAsia="仿宋" w:cs="仿宋"/>
                <w:bCs/>
                <w:lang w:val="en-US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13.10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操作人员未按操作规程作业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restart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lang w:bidi="ar"/>
              </w:rPr>
              <w:t>十</w:t>
            </w: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lang w:eastAsia="zh-CN" w:bidi="ar"/>
              </w:rPr>
              <w:t>四</w:t>
            </w: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lang w:bidi="ar"/>
              </w:rPr>
              <w:t>、防腐、保温作业</w:t>
            </w: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hint="default" w:ascii="仿宋" w:hAnsi="仿宋" w:eastAsia="仿宋" w:cs="仿宋"/>
                <w:bCs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1</w:t>
            </w: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4.1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照明线路、灯具未远离可燃的保温材料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1</w:t>
            </w: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4.</w:t>
            </w: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2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空气压缩机的使用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1</w:t>
            </w: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4.</w:t>
            </w: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3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油漆有害物质的挥发对人体的伤害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1</w:t>
            </w: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4.</w:t>
            </w: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4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使用有害保温材料时不穿戴防护服及过滤面罩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1</w:t>
            </w: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4.</w:t>
            </w: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5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保温材料使用完后，未及时清理，集中存放保管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restart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lang w:bidi="ar"/>
              </w:rPr>
              <w:t>十</w:t>
            </w: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lang w:eastAsia="zh-CN" w:bidi="ar"/>
              </w:rPr>
              <w:t>五</w:t>
            </w: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lang w:bidi="ar"/>
              </w:rPr>
              <w:t>、砼浇筑</w:t>
            </w: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hint="default" w:ascii="仿宋" w:hAnsi="仿宋" w:eastAsia="仿宋" w:cs="仿宋"/>
                <w:bCs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15.1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砼输送泵、振动棒应运转可靠，未选用低噪声的设备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5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15.</w:t>
            </w: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2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管道接头、安全阀、管架等未安装牢固，输送前未试送，检修时未卸压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5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15.</w:t>
            </w: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3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开关箱内未装设漏电保护器，插座插头损坏，电源线破皮漏电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15.</w:t>
            </w: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4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操作人员未穿胶鞋戴绝缘手套。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15.</w:t>
            </w: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5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操作人员湿手接触电源开关。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5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15.</w:t>
            </w: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6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浇灌砼使用的溜槽节间未连接牢靠，操作部位无护身栏杆，直接站在溜放槽帮上操作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5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15.</w:t>
            </w: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7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浇灌高度2m以上的框架梁、柱砼未搭设操作平台，站在模板或支撑上操作、直接在钢筋上踩踏、行走。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15.</w:t>
            </w: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8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使用输送泵输送混凝土时，非2人以上人员牵引布料杆。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5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15.9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使用覆盖物养护砼时，预留孔洞未按规定设牢固盖板或围栏，并设安全标志。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5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hint="eastAsia" w:ascii="仿宋" w:hAnsi="仿宋" w:eastAsia="仿宋" w:cs="仿宋"/>
                <w:bCs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15.</w:t>
            </w: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1</w:t>
            </w: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0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用软管浇水养护时，未将水管接头连接牢固，移动皮管猛拽、倒行拉移皮管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hint="eastAsia" w:ascii="仿宋" w:hAnsi="仿宋" w:eastAsia="仿宋" w:cs="仿宋"/>
                <w:bCs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15.</w:t>
            </w: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1</w:t>
            </w: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1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砼输送泵泵管的装、拆人员非熟练的、强壮的工人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5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restart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lang w:bidi="ar"/>
              </w:rPr>
              <w:t>十</w:t>
            </w: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lang w:eastAsia="zh-CN" w:bidi="ar"/>
              </w:rPr>
              <w:t>六</w:t>
            </w: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lang w:bidi="ar"/>
              </w:rPr>
              <w:t>、化学危险品使用和存储</w:t>
            </w: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16.</w:t>
            </w: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1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化学危险品未按规定存放使用（如：涂料、卷材等物质存放不符合规定，油漆库和稀料库房未分开存放等）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16.</w:t>
            </w: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2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在油漆库房调配稀料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5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16.</w:t>
            </w: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3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易燃易爆仓库无良好的通风条件，且仓库照明等电气设备不符合防火规定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16.</w:t>
            </w: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4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未按要求储存和使用油漆稀料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restart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lang w:bidi="ar"/>
              </w:rPr>
              <w:t>十</w:t>
            </w: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lang w:eastAsia="zh-CN" w:bidi="ar"/>
              </w:rPr>
              <w:t>七</w:t>
            </w: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lang w:bidi="ar"/>
              </w:rPr>
              <w:t>、用火作业</w:t>
            </w: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hint="default" w:ascii="仿宋" w:hAnsi="仿宋" w:eastAsia="仿宋" w:cs="仿宋"/>
                <w:bCs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1</w:t>
            </w: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7.1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氧气瓶、乙炔瓶平放卧到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1</w:t>
            </w: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7.</w:t>
            </w: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2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氧气瓶、乙炔瓶暴晒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1</w:t>
            </w: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7.</w:t>
            </w: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3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气瓶无防震圈和防护帽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1</w:t>
            </w: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7.</w:t>
            </w: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4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氧气、乙炔气管混用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1</w:t>
            </w: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7.</w:t>
            </w: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5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乙炔瓶使用时未装回火防止阀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1</w:t>
            </w: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7.</w:t>
            </w: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6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气瓶压力表损坏或失准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1</w:t>
            </w: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7.</w:t>
            </w: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7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消防设施、工具、器材设置不符合规定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1</w:t>
            </w: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7.</w:t>
            </w: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8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在施建筑物内存放易燃易爆材料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1</w:t>
            </w: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7.</w:t>
            </w: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9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施工现场未经批准，使用电热器具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1</w:t>
            </w: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7.</w:t>
            </w: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10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在现场内吸烟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1</w:t>
            </w: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7.</w:t>
            </w: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11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油漆库吸烟或明火作业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1</w:t>
            </w: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7.</w:t>
            </w: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12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消防重点部位（油料场所、仓库等）未配备消防器材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1</w:t>
            </w: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7.</w:t>
            </w: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13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宿舍内吸烟或动火做饭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restart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lang w:bidi="ar"/>
              </w:rPr>
              <w:t>十</w:t>
            </w: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lang w:eastAsia="zh-CN" w:bidi="ar"/>
              </w:rPr>
              <w:t>八</w:t>
            </w: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lang w:bidi="ar"/>
              </w:rPr>
              <w:t>、不停航施工</w:t>
            </w: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18.</w:t>
            </w: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1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人员、车辆进场携带违禁品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18.</w:t>
            </w: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2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工具进出场未登记、清点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18.</w:t>
            </w: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3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施工中挖断地下管线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18.</w:t>
            </w: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4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道面污染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18.</w:t>
            </w: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5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施工机具超过净空管理规定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18.</w:t>
            </w: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6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FOD形成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18.</w:t>
            </w: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7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人员、车辆擅入飞行区及非施工区域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restart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lang w:bidi="ar"/>
              </w:rPr>
              <w:t>十</w:t>
            </w: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lang w:eastAsia="zh-CN" w:bidi="ar"/>
              </w:rPr>
              <w:t>九</w:t>
            </w: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lang w:bidi="ar"/>
              </w:rPr>
              <w:t>、作业车辆</w:t>
            </w: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19.</w:t>
            </w: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1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驾驶人员酒后驾车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19.</w:t>
            </w: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2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eastAsia="zh-CN" w:bidi="ar"/>
              </w:rPr>
              <w:t>场内</w:t>
            </w: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驾驶人员疲劳驾驶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19.</w:t>
            </w: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3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车辆在泥泞的路上快速行驶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19.</w:t>
            </w: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4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发动后不检查仪表和制动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19.</w:t>
            </w: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5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启动前未确认四周无障碍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19.</w:t>
            </w: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6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载货车辆载货的长宽高超出有关规定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19.</w:t>
            </w: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7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运输超标构件无妥善的方法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19.</w:t>
            </w: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8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发动后不检查试倾液压机构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19.</w:t>
            </w: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9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配合装料时不拉手刹车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19.</w:t>
            </w: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10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卸料时车后方有人员活动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19.</w:t>
            </w: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11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卸料后不复原就开车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19.</w:t>
            </w: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12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向坑内卸料时不保持安全距离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19.</w:t>
            </w: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13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出车前未对各种接头安全防护进行检查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19.</w:t>
            </w: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14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装载大型物件无运输方案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19.</w:t>
            </w: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15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装卸车时拖车不制动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19.</w:t>
            </w: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16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搭设跳板与地面角度过大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19.</w:t>
            </w: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17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车辆行驶前未检查四周及车底是否有人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19.</w:t>
            </w: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18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翻斗车行车载人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19.</w:t>
            </w: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19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发动机运转和料斗装料时进行检修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restart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lang w:eastAsia="zh-CN" w:bidi="ar"/>
              </w:rPr>
              <w:t>二十</w:t>
            </w: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lang w:bidi="ar"/>
              </w:rPr>
              <w:t>、作业环境</w:t>
            </w: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20.</w:t>
            </w: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1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安全通道不良（照明、防滑、护栏〈网〉）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20.</w:t>
            </w: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2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空气质量不良（粉尘、烟尘、漆雾等有毒气体）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20.</w:t>
            </w: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3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非我方所产生的噪声、振动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20.</w:t>
            </w: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4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地面有障碍物、积水、不平等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20.</w:t>
            </w: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5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标志不清晰、不规范、选用不当、安放位置不当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20.</w:t>
            </w: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6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未经批准在有限空间内施工作业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20.</w:t>
            </w: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7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有限空间可燃气体/有毒气体检测分析不到位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20.</w:t>
            </w: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8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作业环境狭小、杂乱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restart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lang w:bidi="ar"/>
              </w:rPr>
              <w:t>二十</w:t>
            </w: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lang w:eastAsia="zh-CN" w:bidi="ar"/>
              </w:rPr>
              <w:t>一</w:t>
            </w: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lang w:bidi="ar"/>
              </w:rPr>
              <w:t>、不安全行为</w:t>
            </w: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21.</w:t>
            </w: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1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在起吊物下作业（停留）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21.</w:t>
            </w: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2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在挖掘机械、汽车吊</w:t>
            </w: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等大型机械</w:t>
            </w: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回转半径内作业或停留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21.</w:t>
            </w: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3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机器运转时作业（加油、修理、检查、调整、清扫等）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21.</w:t>
            </w: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4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用手代替工具操作（不用夹具固定等）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21.</w:t>
            </w: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5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冒险进入危险场所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21.</w:t>
            </w: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6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未使用或不正确使用个人防护用品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21.</w:t>
            </w: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7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不安全装束（戴长围巾、过于肥大衣服</w:t>
            </w:r>
            <w:r>
              <w:rPr>
                <w:rFonts w:hint="eastAsia" w:ascii="仿宋" w:hAnsi="仿宋" w:eastAsia="仿宋" w:cs="仿宋"/>
                <w:color w:val="000000"/>
                <w:kern w:val="0"/>
                <w:lang w:eastAsia="zh-CN" w:bidi="ar"/>
              </w:rPr>
              <w:t>、穿拖鞋</w:t>
            </w: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等）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21.</w:t>
            </w: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8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有分散注意力的行为（工作中闲聊、思考、玩手机等）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restart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lang w:bidi="ar"/>
              </w:rPr>
              <w:t>二十</w:t>
            </w: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lang w:eastAsia="zh-CN" w:bidi="ar"/>
              </w:rPr>
              <w:t>二</w:t>
            </w: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lang w:bidi="ar"/>
              </w:rPr>
              <w:t>、材料堆放</w:t>
            </w: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22.</w:t>
            </w: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1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建筑材料码放不整、超高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22.</w:t>
            </w: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2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存放物料未按规定码放或堆放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22.</w:t>
            </w: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3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材料堆放架搭设不符合要求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restart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/>
              </w:rPr>
              <w:t>二十</w:t>
            </w:r>
            <w:r>
              <w:rPr>
                <w:rFonts w:hint="eastAsia" w:ascii="仿宋" w:hAnsi="仿宋" w:eastAsia="仿宋" w:cs="仿宋"/>
                <w:b/>
                <w:lang w:eastAsia="zh-CN"/>
              </w:rPr>
              <w:t>三</w:t>
            </w:r>
            <w:r>
              <w:rPr>
                <w:rFonts w:hint="eastAsia" w:ascii="仿宋" w:hAnsi="仿宋" w:eastAsia="仿宋" w:cs="仿宋"/>
                <w:b/>
              </w:rPr>
              <w:t>、季节性施工</w:t>
            </w: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23.</w:t>
            </w: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1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冬季严寒天气施工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23.</w:t>
            </w: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2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未及时清扫积雪、无防滑措施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23.</w:t>
            </w: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3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无卫生保健措施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23.</w:t>
            </w: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4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高温条件下施工作业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restart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二</w:t>
            </w: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lang w:bidi="ar"/>
              </w:rPr>
              <w:t>十</w:t>
            </w: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lang w:eastAsia="zh-CN" w:bidi="ar"/>
              </w:rPr>
              <w:t>四</w:t>
            </w: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lang w:bidi="ar"/>
              </w:rPr>
              <w:t>、生活区域</w:t>
            </w: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24.</w:t>
            </w: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1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宿舍卫生状况差，无挡鼠板、防苍蝇措施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24.</w:t>
            </w: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2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开水、饮水器具不卫生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24.</w:t>
            </w: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3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食堂没有卫生许可证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24.</w:t>
            </w: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4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误食亚硝酸盐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24.</w:t>
            </w: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5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厨房内外不卫生、炊具不干净，有腐料变质食品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5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24.</w:t>
            </w: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6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食堂使用无资质厂家生产的气瓶、灶具、胶管、减压器等液化石油气设备设施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24.</w:t>
            </w: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7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加工、保管生熟食品未分开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24.</w:t>
            </w: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8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炊事人员没有办理健康证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24.</w:t>
            </w:r>
            <w:r>
              <w:rPr>
                <w:rFonts w:hint="eastAsia" w:ascii="仿宋" w:hAnsi="仿宋" w:eastAsia="仿宋" w:cs="仿宋"/>
                <w:color w:val="000000"/>
              </w:rPr>
              <w:t>9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</w:rPr>
              <w:t>电动车无集中充电处，进屋充电、飞线充电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restart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lang w:bidi="ar"/>
              </w:rPr>
              <w:t>二十</w:t>
            </w: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lang w:eastAsia="zh-CN" w:bidi="ar"/>
              </w:rPr>
              <w:t>五</w:t>
            </w: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lang w:bidi="ar"/>
              </w:rPr>
              <w:t>、办公场所</w:t>
            </w: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25.</w:t>
            </w: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1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复印机废粉、排放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25.</w:t>
            </w: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2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擦玻璃时注意坠落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25.</w:t>
            </w: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3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拖地时地面有积水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25.</w:t>
            </w: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4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在办公室内吸烟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25.</w:t>
            </w: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5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下班离开办公室未断电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25.</w:t>
            </w: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6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电脑光辐射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25.</w:t>
            </w: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7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复印机光辐射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036" w:type="dxa"/>
            <w:vMerge w:val="continue"/>
          </w:tcPr>
          <w:p>
            <w:pPr>
              <w:pStyle w:val="20"/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392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lang w:bidi="ar"/>
              </w:rPr>
              <w:t>二十</w:t>
            </w: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lang w:eastAsia="zh-CN" w:bidi="ar"/>
              </w:rPr>
              <w:t>六</w:t>
            </w: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lang w:bidi="ar"/>
              </w:rPr>
              <w:t>、其他</w:t>
            </w:r>
          </w:p>
        </w:tc>
        <w:tc>
          <w:tcPr>
            <w:tcW w:w="1124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26.</w:t>
            </w: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1</w:t>
            </w:r>
          </w:p>
        </w:tc>
        <w:tc>
          <w:tcPr>
            <w:tcW w:w="5306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新冠疫情</w:t>
            </w:r>
          </w:p>
        </w:tc>
      </w:tr>
    </w:tbl>
    <w:p>
      <w:pPr>
        <w:rPr>
          <w:b/>
          <w:sz w:val="32"/>
          <w:szCs w:val="32"/>
        </w:rPr>
        <w:sectPr>
          <w:pgSz w:w="11906" w:h="16838"/>
          <w:pgMar w:top="1440" w:right="1797" w:bottom="1440" w:left="1797" w:header="851" w:footer="992" w:gutter="0"/>
          <w:cols w:space="425" w:num="1"/>
          <w:docGrid w:type="linesAndChars" w:linePitch="312" w:charSpace="0"/>
        </w:sectPr>
      </w:pPr>
    </w:p>
    <w:p>
      <w:pPr>
        <w:spacing w:line="0" w:lineRule="atLeast"/>
        <w:rPr>
          <w:rFonts w:ascii="宋体" w:hAnsi="宋体"/>
          <w:b/>
          <w:bCs/>
          <w:color w:val="000000"/>
          <w:kern w:val="0"/>
          <w:sz w:val="32"/>
          <w:szCs w:val="32"/>
        </w:rPr>
      </w:pPr>
    </w:p>
    <w:sectPr>
      <w:pgSz w:w="16838" w:h="11906" w:orient="landscape"/>
      <w:pgMar w:top="1627" w:right="703" w:bottom="1627" w:left="703" w:header="851" w:footer="992" w:gutter="0"/>
      <w:cols w:space="425" w:num="1"/>
      <w:docGrid w:type="linesAndChar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7B85B67"/>
    <w:multiLevelType w:val="multilevel"/>
    <w:tmpl w:val="37B85B67"/>
    <w:lvl w:ilvl="0" w:tentative="0">
      <w:start w:val="1"/>
      <w:numFmt w:val="decimal"/>
      <w:lvlText w:val="%1"/>
      <w:lvlJc w:val="center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5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056C"/>
    <w:rsid w:val="000451D0"/>
    <w:rsid w:val="001757C5"/>
    <w:rsid w:val="0029689A"/>
    <w:rsid w:val="002B730B"/>
    <w:rsid w:val="002C3AD0"/>
    <w:rsid w:val="002E55DC"/>
    <w:rsid w:val="0035273E"/>
    <w:rsid w:val="0040056C"/>
    <w:rsid w:val="00402451"/>
    <w:rsid w:val="00430C36"/>
    <w:rsid w:val="00443B3A"/>
    <w:rsid w:val="004C2A90"/>
    <w:rsid w:val="005C4C83"/>
    <w:rsid w:val="00756E13"/>
    <w:rsid w:val="00834EBD"/>
    <w:rsid w:val="00AC516D"/>
    <w:rsid w:val="00AE70B0"/>
    <w:rsid w:val="00C06EB1"/>
    <w:rsid w:val="00C6292B"/>
    <w:rsid w:val="00C80E2C"/>
    <w:rsid w:val="00D41777"/>
    <w:rsid w:val="00DE6435"/>
    <w:rsid w:val="00EB21DB"/>
    <w:rsid w:val="00F226DE"/>
    <w:rsid w:val="00F22A74"/>
    <w:rsid w:val="00F673F9"/>
    <w:rsid w:val="00F963A2"/>
    <w:rsid w:val="00FD65F1"/>
    <w:rsid w:val="02B45873"/>
    <w:rsid w:val="03212322"/>
    <w:rsid w:val="047113EF"/>
    <w:rsid w:val="054B10C0"/>
    <w:rsid w:val="056C21C8"/>
    <w:rsid w:val="06B6349D"/>
    <w:rsid w:val="07013CDC"/>
    <w:rsid w:val="07DA0063"/>
    <w:rsid w:val="08F157EE"/>
    <w:rsid w:val="09E518F1"/>
    <w:rsid w:val="0A0A1357"/>
    <w:rsid w:val="0A76591B"/>
    <w:rsid w:val="0AEB55C7"/>
    <w:rsid w:val="0CAA4CE7"/>
    <w:rsid w:val="0E643F61"/>
    <w:rsid w:val="0E9E0A53"/>
    <w:rsid w:val="12E4798B"/>
    <w:rsid w:val="134A77BF"/>
    <w:rsid w:val="13CC5D99"/>
    <w:rsid w:val="16DC5D23"/>
    <w:rsid w:val="18B00125"/>
    <w:rsid w:val="192856EA"/>
    <w:rsid w:val="1AA85D36"/>
    <w:rsid w:val="1B8653B5"/>
    <w:rsid w:val="1BBC061B"/>
    <w:rsid w:val="1BCD199D"/>
    <w:rsid w:val="1BFB31F6"/>
    <w:rsid w:val="1DC87107"/>
    <w:rsid w:val="1DF70B2D"/>
    <w:rsid w:val="1E087E4C"/>
    <w:rsid w:val="1E67253A"/>
    <w:rsid w:val="1EFD07A4"/>
    <w:rsid w:val="205C6825"/>
    <w:rsid w:val="210B368F"/>
    <w:rsid w:val="212A32C7"/>
    <w:rsid w:val="24973C21"/>
    <w:rsid w:val="259C009E"/>
    <w:rsid w:val="27D34AE1"/>
    <w:rsid w:val="2B764FA0"/>
    <w:rsid w:val="2BB07A30"/>
    <w:rsid w:val="2C1840EA"/>
    <w:rsid w:val="2C514564"/>
    <w:rsid w:val="2D10020B"/>
    <w:rsid w:val="2DE7182C"/>
    <w:rsid w:val="2DFF6B75"/>
    <w:rsid w:val="2EEB0EA8"/>
    <w:rsid w:val="2F336445"/>
    <w:rsid w:val="2FEA550D"/>
    <w:rsid w:val="30CC7F0C"/>
    <w:rsid w:val="310049F8"/>
    <w:rsid w:val="3106646D"/>
    <w:rsid w:val="31E16592"/>
    <w:rsid w:val="325A4A53"/>
    <w:rsid w:val="32CA4F13"/>
    <w:rsid w:val="340E23AE"/>
    <w:rsid w:val="347E1CA0"/>
    <w:rsid w:val="34E66DE4"/>
    <w:rsid w:val="35370D35"/>
    <w:rsid w:val="35F771E8"/>
    <w:rsid w:val="35FD2925"/>
    <w:rsid w:val="36E42B9E"/>
    <w:rsid w:val="379634E3"/>
    <w:rsid w:val="37B409D1"/>
    <w:rsid w:val="38A761DF"/>
    <w:rsid w:val="3A8E7FE2"/>
    <w:rsid w:val="3C60131B"/>
    <w:rsid w:val="3DF47314"/>
    <w:rsid w:val="3FD53799"/>
    <w:rsid w:val="400B425F"/>
    <w:rsid w:val="402B62DA"/>
    <w:rsid w:val="40C26678"/>
    <w:rsid w:val="4243332E"/>
    <w:rsid w:val="448D4A83"/>
    <w:rsid w:val="485E73D5"/>
    <w:rsid w:val="4A197FDB"/>
    <w:rsid w:val="4A2E3471"/>
    <w:rsid w:val="4A5971B6"/>
    <w:rsid w:val="4BC52D55"/>
    <w:rsid w:val="4ED66488"/>
    <w:rsid w:val="506E2C19"/>
    <w:rsid w:val="510D4000"/>
    <w:rsid w:val="515B7805"/>
    <w:rsid w:val="53552DF1"/>
    <w:rsid w:val="54F21CA7"/>
    <w:rsid w:val="56B97FDB"/>
    <w:rsid w:val="574B41BE"/>
    <w:rsid w:val="575516E1"/>
    <w:rsid w:val="577D5B45"/>
    <w:rsid w:val="582E7771"/>
    <w:rsid w:val="58E30CBE"/>
    <w:rsid w:val="59BF51BE"/>
    <w:rsid w:val="59DA281A"/>
    <w:rsid w:val="5ABE150D"/>
    <w:rsid w:val="5BC80289"/>
    <w:rsid w:val="5D042932"/>
    <w:rsid w:val="5D150E9F"/>
    <w:rsid w:val="5D756F66"/>
    <w:rsid w:val="62905443"/>
    <w:rsid w:val="667F298E"/>
    <w:rsid w:val="67960A1A"/>
    <w:rsid w:val="67E677A7"/>
    <w:rsid w:val="6CDB4A0E"/>
    <w:rsid w:val="6E82642B"/>
    <w:rsid w:val="703E3071"/>
    <w:rsid w:val="710A268A"/>
    <w:rsid w:val="73AF34CA"/>
    <w:rsid w:val="759F1494"/>
    <w:rsid w:val="76181A30"/>
    <w:rsid w:val="76256496"/>
    <w:rsid w:val="775839C8"/>
    <w:rsid w:val="798548F4"/>
    <w:rsid w:val="7A4E01FC"/>
    <w:rsid w:val="7BEC5C80"/>
    <w:rsid w:val="7D416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2"/>
    <w:basedOn w:val="1"/>
    <w:next w:val="1"/>
    <w:link w:val="8"/>
    <w:semiHidden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nhideWhenUsed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6">
    <w:name w:val="Table Grid"/>
    <w:basedOn w:val="5"/>
    <w:unhideWhenUsed/>
    <w:qFormat/>
    <w:uiPriority w:val="99"/>
    <w:rPr>
      <w:rFonts w:eastAsia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标题 2 字符"/>
    <w:basedOn w:val="7"/>
    <w:link w:val="2"/>
    <w:semiHidden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table" w:customStyle="1" w:styleId="9">
    <w:name w:val="网格型1"/>
    <w:basedOn w:val="5"/>
    <w:unhideWhenUsed/>
    <w:qFormat/>
    <w:uiPriority w:val="99"/>
    <w:pPr>
      <w:widowControl w:val="0"/>
      <w:jc w:val="both"/>
    </w:pPr>
    <w:rPr>
      <w:rFonts w:eastAsia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0">
    <w:name w:val="附录表标题"/>
    <w:basedOn w:val="1"/>
    <w:next w:val="11"/>
    <w:qFormat/>
    <w:uiPriority w:val="0"/>
    <w:pPr>
      <w:spacing w:beforeLines="50" w:afterLines="50"/>
      <w:jc w:val="center"/>
    </w:pPr>
    <w:rPr>
      <w:rFonts w:ascii="黑体" w:eastAsia="黑体"/>
    </w:rPr>
  </w:style>
  <w:style w:type="paragraph" w:customStyle="1" w:styleId="11">
    <w:name w:val="段"/>
    <w:basedOn w:val="1"/>
    <w:qFormat/>
    <w:uiPriority w:val="0"/>
    <w:pPr>
      <w:widowControl/>
      <w:autoSpaceDE w:val="0"/>
      <w:autoSpaceDN w:val="0"/>
      <w:ind w:firstLine="420" w:firstLineChars="200"/>
    </w:pPr>
    <w:rPr>
      <w:rFonts w:ascii="宋体"/>
      <w:kern w:val="0"/>
    </w:rPr>
  </w:style>
  <w:style w:type="paragraph" w:customStyle="1" w:styleId="12">
    <w:name w:val="附录章标题"/>
    <w:basedOn w:val="1"/>
    <w:next w:val="11"/>
    <w:qFormat/>
    <w:uiPriority w:val="0"/>
    <w:pPr>
      <w:widowControl/>
      <w:wordWrap w:val="0"/>
      <w:overflowPunct w:val="0"/>
      <w:spacing w:beforeLines="100" w:afterLines="100"/>
      <w:textAlignment w:val="baseline"/>
      <w:outlineLvl w:val="1"/>
    </w:pPr>
    <w:rPr>
      <w:rFonts w:ascii="黑体" w:eastAsia="黑体"/>
      <w:kern w:val="21"/>
    </w:rPr>
  </w:style>
  <w:style w:type="character" w:customStyle="1" w:styleId="13">
    <w:name w:val="font31"/>
    <w:basedOn w:val="7"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  <w:style w:type="character" w:customStyle="1" w:styleId="14">
    <w:name w:val="font01"/>
    <w:basedOn w:val="7"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  <w:style w:type="character" w:customStyle="1" w:styleId="15">
    <w:name w:val="font81"/>
    <w:basedOn w:val="7"/>
    <w:qFormat/>
    <w:uiPriority w:val="0"/>
    <w:rPr>
      <w:rFonts w:hint="default" w:ascii="Times New Roman" w:hAnsi="Times New Roman" w:cs="Times New Roman"/>
      <w:color w:val="000000"/>
      <w:sz w:val="20"/>
      <w:szCs w:val="20"/>
      <w:u w:val="none"/>
    </w:rPr>
  </w:style>
  <w:style w:type="character" w:customStyle="1" w:styleId="16">
    <w:name w:val="font91"/>
    <w:basedOn w:val="7"/>
    <w:qFormat/>
    <w:uiPriority w:val="0"/>
    <w:rPr>
      <w:rFonts w:hint="default" w:ascii="Times New Roman" w:hAnsi="Times New Roman" w:cs="Times New Roman"/>
      <w:color w:val="000000"/>
      <w:sz w:val="18"/>
      <w:szCs w:val="18"/>
      <w:u w:val="none"/>
    </w:rPr>
  </w:style>
  <w:style w:type="character" w:customStyle="1" w:styleId="17">
    <w:name w:val="font41"/>
    <w:basedOn w:val="7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character" w:customStyle="1" w:styleId="18">
    <w:name w:val="font11"/>
    <w:basedOn w:val="7"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  <w:style w:type="character" w:customStyle="1" w:styleId="19">
    <w:name w:val="font71"/>
    <w:basedOn w:val="7"/>
    <w:qFormat/>
    <w:uiPriority w:val="0"/>
    <w:rPr>
      <w:rFonts w:hint="default" w:ascii="Times New Roman" w:hAnsi="Times New Roman" w:cs="Times New Roman"/>
      <w:color w:val="000000"/>
      <w:sz w:val="20"/>
      <w:szCs w:val="20"/>
      <w:u w:val="none"/>
    </w:rPr>
  </w:style>
  <w:style w:type="paragraph" w:styleId="20">
    <w:name w:val="List Paragraph"/>
    <w:basedOn w:val="1"/>
    <w:qFormat/>
    <w:uiPriority w:val="99"/>
    <w:pPr>
      <w:ind w:firstLine="420" w:firstLineChars="200"/>
    </w:pPr>
  </w:style>
  <w:style w:type="character" w:customStyle="1" w:styleId="21">
    <w:name w:val="font141"/>
    <w:basedOn w:val="7"/>
    <w:qFormat/>
    <w:uiPriority w:val="0"/>
    <w:rPr>
      <w:rFonts w:hint="default" w:ascii="Times New Roman" w:hAnsi="Times New Roman" w:cs="Times New Roman"/>
      <w:color w:val="000000"/>
      <w:sz w:val="18"/>
      <w:szCs w:val="18"/>
      <w:u w:val="non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4542</Words>
  <Characters>5301</Characters>
  <Lines>215</Lines>
  <Paragraphs>60</Paragraphs>
  <TotalTime>0</TotalTime>
  <ScaleCrop>false</ScaleCrop>
  <LinksUpToDate>false</LinksUpToDate>
  <CharactersWithSpaces>5303</CharactersWithSpaces>
  <Application>WPS Office_11.1.0.11636_F1E327BC-269C-435d-A152-05C5408002CA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2020-12-17T01:16:00Z</dcterms:created>
  <dc:creator>86136</dc:creator>
  <cp:lastModifiedBy>大写的米  YY</cp:lastModifiedBy>
  <cp:lastPrinted>2022-02-18T01:53:00Z</cp:lastPrinted>
  <dcterms:modified xsi:type="dcterms:W3CDTF">2022-04-22T03:27:53Z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2052-11.1.0.11636</vt:lpwstr>
  </property>
  <property fmtid="{D5CDD505-2E9C-101B-9397-08002B2CF9AE}" pid="3" name="ICV">
    <vt:lpwstr>0A567B5311AB4F1EB51D654B7CB70906</vt:lpwstr>
  </property>
  <property fmtid="{D5CDD505-2E9C-101B-9397-08002B2CF9AE}" pid="4" name="commondata">
    <vt:lpwstr>eyJoZGlkIjoiNTk4ZTQzNGY0Mjg4NjI2MTBmYWY1MGVmNTlmNmQ1OTkifQ==</vt:lpwstr>
  </property>
</Properties>
</file>