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8718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2" w:space="0"/>
          <w:insideV w:val="single" w:color="auto" w:sz="2" w:space="0"/>
        </w:tblBorders>
        <w:tblLayout w:type="fixed"/>
        <w:tblCellMar>
          <w:top w:w="57" w:type="dxa"/>
          <w:left w:w="28" w:type="dxa"/>
          <w:bottom w:w="57" w:type="dxa"/>
          <w:right w:w="28" w:type="dxa"/>
        </w:tblCellMar>
      </w:tblPr>
      <w:tblGrid>
        <w:gridCol w:w="1337"/>
        <w:gridCol w:w="1645"/>
        <w:gridCol w:w="776"/>
        <w:gridCol w:w="777"/>
        <w:gridCol w:w="1259"/>
        <w:gridCol w:w="387"/>
        <w:gridCol w:w="832"/>
        <w:gridCol w:w="1705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629" w:hRule="atLeast"/>
          <w:jc w:val="center"/>
        </w:trPr>
        <w:tc>
          <w:tcPr>
            <w:tcW w:w="5794" w:type="dxa"/>
            <w:gridSpan w:val="5"/>
            <w:shd w:val="solid" w:color="FFFFFF" w:fill="auto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24"/>
                <w:szCs w:val="24"/>
              </w:rPr>
              <w:t>安全教育记录表</w:t>
            </w:r>
          </w:p>
          <w:p>
            <w:pPr>
              <w:snapToGrid w:val="0"/>
              <w:jc w:val="center"/>
              <w:rPr>
                <w:rFonts w:asciiTheme="minorEastAsia" w:hAnsiTheme="minorEastAsia" w:eastAsiaTheme="minorEastAsia"/>
                <w:bCs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</w:rPr>
              <w:t>表</w:t>
            </w:r>
            <w:r>
              <w:rPr>
                <w:rFonts w:asciiTheme="minorEastAsia" w:hAnsiTheme="minorEastAsia" w:eastAsiaTheme="minorEastAsia"/>
                <w:b/>
                <w:kern w:val="0"/>
              </w:rPr>
              <w:t>AQ-C1-19</w:t>
            </w:r>
          </w:p>
        </w:tc>
        <w:tc>
          <w:tcPr>
            <w:tcW w:w="1219" w:type="dxa"/>
            <w:gridSpan w:val="2"/>
            <w:shd w:val="solid" w:color="FFFFFF" w:fill="auto"/>
            <w:vAlign w:val="center"/>
          </w:tcPr>
          <w:p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shd w:val="clear" w:color="auto" w:fill="FFFFFF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编号</w:t>
            </w:r>
          </w:p>
        </w:tc>
        <w:tc>
          <w:tcPr>
            <w:tcW w:w="1705" w:type="dxa"/>
            <w:shd w:val="solid" w:color="FFFFFF" w:fill="auto"/>
            <w:vAlign w:val="center"/>
          </w:tcPr>
          <w:p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bCs/>
                <w:shd w:val="clear" w:color="auto" w:fill="FFFFFF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306" w:hRule="atLeast"/>
          <w:jc w:val="center"/>
        </w:trPr>
        <w:tc>
          <w:tcPr>
            <w:tcW w:w="1337" w:type="dxa"/>
            <w:shd w:val="solid" w:color="FFFFFF" w:fill="auto"/>
            <w:vAlign w:val="center"/>
          </w:tcPr>
          <w:p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shd w:val="clear" w:color="auto" w:fill="FFFFFF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培训主题</w:t>
            </w:r>
          </w:p>
        </w:tc>
        <w:tc>
          <w:tcPr>
            <w:tcW w:w="3198" w:type="dxa"/>
            <w:gridSpan w:val="3"/>
            <w:vAlign w:val="center"/>
          </w:tcPr>
          <w:p>
            <w:pPr>
              <w:autoSpaceDN w:val="0"/>
              <w:snapToGrid w:val="0"/>
              <w:jc w:val="center"/>
              <w:textAlignment w:val="center"/>
              <w:rPr>
                <w:rFonts w:hint="default" w:asciiTheme="minorEastAsia" w:hAnsiTheme="minorEastAsia" w:eastAsia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highlight w:val="yellow"/>
                <w:lang w:val="en-US" w:eastAsia="zh-CN"/>
              </w:rPr>
              <w:t>XX节前安全教育</w:t>
            </w:r>
          </w:p>
        </w:tc>
        <w:tc>
          <w:tcPr>
            <w:tcW w:w="2478" w:type="dxa"/>
            <w:gridSpan w:val="3"/>
            <w:vAlign w:val="center"/>
          </w:tcPr>
          <w:p>
            <w:pPr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cs="宋体" w:asciiTheme="minorEastAsia" w:hAnsiTheme="minorEastAsia" w:eastAsiaTheme="minorEastAsia"/>
              </w:rPr>
              <w:t>培训对象及人数</w:t>
            </w:r>
          </w:p>
        </w:tc>
        <w:tc>
          <w:tcPr>
            <w:tcW w:w="1705" w:type="dxa"/>
            <w:vAlign w:val="center"/>
          </w:tcPr>
          <w:p>
            <w:pPr>
              <w:autoSpaceDN w:val="0"/>
              <w:snapToGrid w:val="0"/>
              <w:jc w:val="left"/>
              <w:textAlignment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918" w:hRule="atLeast"/>
          <w:jc w:val="center"/>
        </w:trPr>
        <w:tc>
          <w:tcPr>
            <w:tcW w:w="1337" w:type="dxa"/>
            <w:shd w:val="solid" w:color="FFFFFF" w:fill="auto"/>
            <w:vAlign w:val="center"/>
          </w:tcPr>
          <w:p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shd w:val="clear" w:color="auto" w:fill="FFFFFF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培训部门或</w:t>
            </w:r>
            <w:r>
              <w:rPr>
                <w:rFonts w:asciiTheme="minorEastAsia" w:hAnsiTheme="minorEastAsia" w:eastAsiaTheme="minorEastAsia"/>
                <w:shd w:val="clear" w:color="auto" w:fill="FFFFFF"/>
              </w:rPr>
              <w:br w:type="textWrapping"/>
            </w: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召集人</w:t>
            </w:r>
          </w:p>
        </w:tc>
        <w:tc>
          <w:tcPr>
            <w:tcW w:w="1645" w:type="dxa"/>
            <w:vAlign w:val="center"/>
          </w:tcPr>
          <w:p>
            <w:pPr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776" w:type="dxa"/>
            <w:shd w:val="solid" w:color="FFFFFF" w:fill="auto"/>
            <w:vAlign w:val="center"/>
          </w:tcPr>
          <w:p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shd w:val="clear" w:color="auto" w:fill="FFFFFF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主讲人</w:t>
            </w:r>
          </w:p>
        </w:tc>
        <w:tc>
          <w:tcPr>
            <w:tcW w:w="2036" w:type="dxa"/>
            <w:gridSpan w:val="2"/>
            <w:vAlign w:val="center"/>
          </w:tcPr>
          <w:p>
            <w:pPr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219" w:type="dxa"/>
            <w:gridSpan w:val="2"/>
            <w:shd w:val="solid" w:color="FFFFFF" w:fill="auto"/>
            <w:vAlign w:val="center"/>
          </w:tcPr>
          <w:p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shd w:val="clear" w:color="auto" w:fill="FFFFFF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记录整理人</w:t>
            </w:r>
          </w:p>
        </w:tc>
        <w:tc>
          <w:tcPr>
            <w:tcW w:w="1705" w:type="dxa"/>
            <w:vAlign w:val="center"/>
          </w:tcPr>
          <w:p>
            <w:pPr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306" w:hRule="atLeast"/>
          <w:jc w:val="center"/>
        </w:trPr>
        <w:tc>
          <w:tcPr>
            <w:tcW w:w="1337" w:type="dxa"/>
            <w:shd w:val="solid" w:color="FFFFFF" w:fill="auto"/>
            <w:vAlign w:val="center"/>
          </w:tcPr>
          <w:p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shd w:val="clear" w:color="auto" w:fill="FFFFFF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培训时间</w:t>
            </w:r>
          </w:p>
        </w:tc>
        <w:tc>
          <w:tcPr>
            <w:tcW w:w="2421" w:type="dxa"/>
            <w:gridSpan w:val="2"/>
            <w:vAlign w:val="center"/>
          </w:tcPr>
          <w:p>
            <w:pPr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777" w:type="dxa"/>
            <w:shd w:val="solid" w:color="FFFFFF" w:fill="auto"/>
            <w:vAlign w:val="center"/>
          </w:tcPr>
          <w:p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shd w:val="clear" w:color="auto" w:fill="FFFFFF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地点</w:t>
            </w:r>
          </w:p>
        </w:tc>
        <w:tc>
          <w:tcPr>
            <w:tcW w:w="1646" w:type="dxa"/>
            <w:gridSpan w:val="2"/>
            <w:vAlign w:val="center"/>
          </w:tcPr>
          <w:p>
            <w:pPr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832" w:type="dxa"/>
            <w:shd w:val="solid" w:color="FFFFFF" w:fill="auto"/>
            <w:vAlign w:val="center"/>
          </w:tcPr>
          <w:p>
            <w:pPr>
              <w:shd w:val="solid" w:color="FFFFFF" w:fill="auto"/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  <w:shd w:val="clear" w:color="auto" w:fill="FFFFFF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学时</w:t>
            </w:r>
          </w:p>
        </w:tc>
        <w:tc>
          <w:tcPr>
            <w:tcW w:w="1705" w:type="dxa"/>
            <w:vAlign w:val="center"/>
          </w:tcPr>
          <w:p>
            <w:pPr>
              <w:autoSpaceDN w:val="0"/>
              <w:snapToGrid w:val="0"/>
              <w:jc w:val="center"/>
              <w:textAlignment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306" w:hRule="atLeast"/>
          <w:jc w:val="center"/>
        </w:trPr>
        <w:tc>
          <w:tcPr>
            <w:tcW w:w="8718" w:type="dxa"/>
            <w:gridSpan w:val="8"/>
            <w:shd w:val="solid" w:color="FFFFFF" w:fill="auto"/>
            <w:vAlign w:val="center"/>
          </w:tcPr>
          <w:p>
            <w:pPr>
              <w:shd w:val="solid" w:color="FFFFFF" w:fill="auto"/>
              <w:autoSpaceDN w:val="0"/>
              <w:snapToGrid w:val="0"/>
              <w:jc w:val="left"/>
              <w:textAlignment w:val="center"/>
              <w:rPr>
                <w:rFonts w:asciiTheme="minorEastAsia" w:hAnsiTheme="minorEastAsia" w:eastAsiaTheme="minorEastAsia"/>
                <w:shd w:val="clear" w:color="auto" w:fill="FFFFFF"/>
              </w:rPr>
            </w:pPr>
            <w:r>
              <w:rPr>
                <w:rFonts w:hint="eastAsia" w:cs="宋体" w:asciiTheme="minorEastAsia" w:hAnsiTheme="minorEastAsia" w:eastAsiaTheme="minorEastAsia"/>
                <w:shd w:val="clear" w:color="auto" w:fill="FFFFFF"/>
              </w:rPr>
              <w:t>培训提纲：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9357" w:hRule="atLeast"/>
          <w:jc w:val="center"/>
        </w:trPr>
        <w:tc>
          <w:tcPr>
            <w:tcW w:w="8718" w:type="dxa"/>
            <w:gridSpan w:val="8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一、节假日安全管理的重点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越是节假日，越要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绷紧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安全弦，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敲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响安全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警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钟。节假日，属于特殊时间段，抓安全工作也应注意些特殊情况。首先，节日期间留守岗位坚持生产的人员容易受到节日氛围的影响，难以集中注意力严格按规范操作，这就给安全生产造成了隐患。其次，节日期间由于岗位人手少、管理力量不足等原因，在生产过程中出现的事故隐患往往难以得到及时有效的治理，这也会导致安全生产事故的发生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ind w:firstLine="480" w:firstLineChars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在</w:t>
            </w:r>
            <w:r>
              <w:rPr>
                <w:rFonts w:ascii="宋体" w:hAnsi="宋体" w:eastAsia="宋体" w:cs="宋体"/>
                <w:sz w:val="24"/>
                <w:szCs w:val="24"/>
              </w:rPr>
              <w:t>节日来临之际，针对施工安全意识容易淡薄的状况，抓好安全教育和防范工作。提前制定相应措施，加强对节日期间安全检查、监督、防范。多一声叮嘱，多一份操心，多一句提醒，多-些关爱，让施工人员时刻保持清醒的头脑和旺盛的精力。作为每一位施工人员都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要</w:t>
            </w:r>
            <w:r>
              <w:rPr>
                <w:rFonts w:ascii="宋体" w:hAnsi="宋体" w:eastAsia="宋体" w:cs="宋体"/>
                <w:sz w:val="24"/>
                <w:szCs w:val="24"/>
              </w:rPr>
              <w:t>在思想上充分认识到节日安全的重要性，调整好自己的心态，把主要心思和精力集中到保安全生产上来。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做到越是节假日，越要对安全多一份清醒，多一份警惕，少一份浮躁，少些盲目，聚精会神做好本职工作，为过一个安全祥和的节日作出自己的贡献。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rPr>
                <w:rFonts w:hint="eastAsia"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节假日针对性教育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rPr>
                <w:rFonts w:hint="eastAsia"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节日期间确需要加班的，必须检查管理人员和作业人员是否满足要求，管理人员不到位不得进行作业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rPr>
                <w:rFonts w:hint="eastAsia"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项目部安全员（或值班人员）必须</w:t>
            </w:r>
            <w:r>
              <w:rPr>
                <w:rFonts w:ascii="宋体" w:hAnsi="宋体" w:eastAsia="宋体" w:cs="宋体"/>
                <w:sz w:val="24"/>
                <w:szCs w:val="24"/>
              </w:rPr>
              <w:t>检查作业人员班前状态，达不到状态的人员，不得进入施工现场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3、加班作业期间，加强安全检查，消除隐患，加强安全宣传和教育工作，管理人员必须到位，每天进行5分钟班前安全技术交底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、对节假日期间必须使用的机械设备、机动车辆、现场设施、防火器材等，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组织专业人员进行一次技术状况的检查，确认良好才能使用。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i w:val="0"/>
                <w:caps w:val="0"/>
                <w:color w:val="333333"/>
                <w:spacing w:val="8"/>
                <w:sz w:val="24"/>
                <w:szCs w:val="24"/>
                <w:shd w:val="clear" w:fill="FFFFFF"/>
                <w:lang w:val="en-US" w:eastAsia="zh-CN"/>
              </w:rPr>
              <w:t>5、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333333"/>
                <w:spacing w:val="8"/>
                <w:sz w:val="24"/>
                <w:szCs w:val="24"/>
                <w:shd w:val="clear" w:fill="FFFFFF"/>
              </w:rPr>
              <w:t>落实好节</w:t>
            </w:r>
            <w:r>
              <w:rPr>
                <w:rFonts w:hint="eastAsia" w:ascii="宋体" w:hAnsi="宋体" w:cs="宋体"/>
                <w:i w:val="0"/>
                <w:caps w:val="0"/>
                <w:color w:val="333333"/>
                <w:spacing w:val="8"/>
                <w:sz w:val="24"/>
                <w:szCs w:val="24"/>
                <w:shd w:val="clear" w:fill="FFFFFF"/>
                <w:lang w:eastAsia="zh-CN"/>
              </w:rPr>
              <w:t>日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333333"/>
                <w:spacing w:val="8"/>
                <w:sz w:val="24"/>
                <w:szCs w:val="24"/>
                <w:shd w:val="clear" w:fill="FFFFFF"/>
              </w:rPr>
              <w:t>期间安全保证应急救援组织机构等应急资源，加强应急准备情况的检查，完善应急救援机制，达到有效防范和应对突发事故的发生。现已排出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333333"/>
                <w:spacing w:val="8"/>
                <w:sz w:val="24"/>
                <w:szCs w:val="24"/>
                <w:shd w:val="clear" w:fill="FFFFFF"/>
              </w:rPr>
              <w:t>节</w:t>
            </w:r>
            <w:r>
              <w:rPr>
                <w:rFonts w:hint="eastAsia" w:ascii="宋体" w:hAnsi="宋体" w:cs="宋体"/>
                <w:b/>
                <w:bCs/>
                <w:i w:val="0"/>
                <w:caps w:val="0"/>
                <w:color w:val="333333"/>
                <w:spacing w:val="8"/>
                <w:sz w:val="24"/>
                <w:szCs w:val="24"/>
                <w:shd w:val="clear" w:fill="FFFFFF"/>
                <w:lang w:eastAsia="zh-CN"/>
              </w:rPr>
              <w:t>日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caps w:val="0"/>
                <w:color w:val="333333"/>
                <w:spacing w:val="8"/>
                <w:sz w:val="24"/>
                <w:szCs w:val="24"/>
                <w:shd w:val="clear" w:fill="FFFFFF"/>
              </w:rPr>
              <w:t>假期值班人员表，安排好专人值班，公布值班电话，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333333"/>
                <w:spacing w:val="8"/>
                <w:sz w:val="24"/>
                <w:szCs w:val="24"/>
                <w:shd w:val="clear" w:fill="FFFFFF"/>
              </w:rPr>
              <w:t>严肃值班纪律，值班人员一定要坚守岗位，尽职尽责，做好上情下达，下情上报工作，保证24小时值班信息畅通，明确负责人。并已将值班表张贴在施工现场，向甲方、监理提交值班表，已完善信息沟通机制。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、节日期间不使用的机械设备及电气设备，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必须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切断电源、拔掉保险丝、电箱上锁；移动电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器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具、危险物品妥善保管。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rPr>
                <w:rFonts w:hint="eastAsia" w:ascii="宋体" w:hAnsi="宋体" w:eastAsia="宋体" w:cs="宋体"/>
                <w:i w:val="0"/>
                <w:caps w:val="0"/>
                <w:color w:val="333333"/>
                <w:spacing w:val="8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cs="宋体"/>
                <w:i w:val="0"/>
                <w:caps w:val="0"/>
                <w:color w:val="333333"/>
                <w:spacing w:val="8"/>
                <w:sz w:val="24"/>
                <w:szCs w:val="24"/>
                <w:shd w:val="clear" w:fill="FFFFFF"/>
                <w:lang w:val="en-US" w:eastAsia="zh-CN"/>
              </w:rPr>
              <w:t>7、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333333"/>
                <w:spacing w:val="8"/>
                <w:sz w:val="24"/>
                <w:szCs w:val="24"/>
                <w:shd w:val="clear" w:fill="FFFFFF"/>
              </w:rPr>
              <w:t>节</w:t>
            </w:r>
            <w:r>
              <w:rPr>
                <w:rFonts w:hint="eastAsia" w:ascii="宋体" w:hAnsi="宋体" w:cs="宋体"/>
                <w:i w:val="0"/>
                <w:caps w:val="0"/>
                <w:color w:val="333333"/>
                <w:spacing w:val="8"/>
                <w:sz w:val="24"/>
                <w:szCs w:val="24"/>
                <w:shd w:val="clear" w:fill="FFFFFF"/>
                <w:lang w:eastAsia="zh-CN"/>
              </w:rPr>
              <w:t>日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333333"/>
                <w:spacing w:val="8"/>
                <w:sz w:val="24"/>
                <w:szCs w:val="24"/>
                <w:shd w:val="clear" w:fill="FFFFFF"/>
              </w:rPr>
              <w:t>期间为防止火灾事故，不准在堆放易燃、易爆材料的地方用火</w:t>
            </w:r>
            <w:r>
              <w:rPr>
                <w:rFonts w:hint="eastAsia" w:ascii="宋体" w:hAnsi="宋体" w:cs="宋体"/>
                <w:i w:val="0"/>
                <w:caps w:val="0"/>
                <w:color w:val="333333"/>
                <w:spacing w:val="8"/>
                <w:sz w:val="24"/>
                <w:szCs w:val="24"/>
                <w:shd w:val="clear" w:fill="FFFFFF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333333"/>
                <w:spacing w:val="8"/>
                <w:sz w:val="24"/>
                <w:szCs w:val="24"/>
                <w:shd w:val="clear" w:fill="FFFFFF"/>
              </w:rPr>
              <w:t>用电炉，不准在库房生火取暖做饭，不准私自乱拉乱搭电线等。如不按上述规定执行，造成火灾事故的，要分别按照“谁违章谁负责”及“</w:t>
            </w:r>
            <w:r>
              <w:rPr>
                <w:rFonts w:hint="eastAsia" w:ascii="宋体" w:hAnsi="宋体" w:cs="宋体"/>
                <w:i w:val="0"/>
                <w:caps w:val="0"/>
                <w:color w:val="333333"/>
                <w:spacing w:val="8"/>
                <w:sz w:val="24"/>
                <w:szCs w:val="24"/>
                <w:shd w:val="clear" w:fill="FFFFFF"/>
                <w:lang w:eastAsia="zh-CN"/>
              </w:rPr>
              <w:t>四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333333"/>
                <w:spacing w:val="8"/>
                <w:sz w:val="24"/>
                <w:szCs w:val="24"/>
                <w:shd w:val="clear" w:fill="FFFFFF"/>
              </w:rPr>
              <w:t>不放过”的原则给予责任处罚，赔偿经济损失，追究事故责任。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caps w:val="0"/>
                <w:color w:val="333333"/>
                <w:spacing w:val="8"/>
                <w:sz w:val="24"/>
                <w:szCs w:val="24"/>
                <w:shd w:val="clear" w:fill="FFFFFF"/>
                <w:lang w:val="en-US" w:eastAsia="zh-CN"/>
              </w:rPr>
              <w:t>8、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节日期间，如果动用明火，要严格按照动火审批制度进行审批。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 w:val="0"/>
              <w:spacing w:line="360" w:lineRule="auto"/>
              <w:jc w:val="both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、集体宿舍内严禁使用电加热器，严禁使用明火与电炉。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、严禁酒后作业、严禁酗酒闹事。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11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、节后开工前，应认真组织对周围环境、机具设备机动车辆、现场设施进行检查，确认正常方可施工，并相应做好记录。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、开展正常的娱乐活动，严禁乱喊乱吵，影响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他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人休息。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13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、节假日期间，严禁将外来人员留宿工地。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412" w:hRule="atLeast"/>
          <w:jc w:val="center"/>
        </w:trPr>
        <w:tc>
          <w:tcPr>
            <w:tcW w:w="8718" w:type="dxa"/>
            <w:gridSpan w:val="8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jc w:val="center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参加培训人员签字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90" w:hRule="atLeast"/>
          <w:jc w:val="center"/>
        </w:trPr>
        <w:tc>
          <w:tcPr>
            <w:tcW w:w="8718" w:type="dxa"/>
            <w:gridSpan w:val="8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bidi w:val="0"/>
              <w:adjustRightInd/>
              <w:spacing w:line="360" w:lineRule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                                                           年 月 日</w:t>
            </w: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F82CF2B"/>
    <w:multiLevelType w:val="singleLevel"/>
    <w:tmpl w:val="8F82CF2B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9519FB59"/>
    <w:multiLevelType w:val="singleLevel"/>
    <w:tmpl w:val="9519FB59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595942"/>
    <w:rsid w:val="1559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2020-09-07T09:03:00Z</dcterms:created>
  <dc:creator>Administrator</dc:creator>
  <cp:lastModifiedBy>Administrator</cp:lastModifiedBy>
  <dcterms:modified xsi:type="dcterms:W3CDTF">2020-09-07T09:04:02Z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