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7F6CE">
      <w:pPr>
        <w:pStyle w:val="2"/>
        <w:bidi w:val="0"/>
        <w:jc w:val="center"/>
        <w:rPr>
          <w:rFonts w:hint="eastAsia"/>
        </w:rPr>
      </w:pPr>
      <w:bookmarkStart w:id="0" w:name="_Toc24900"/>
      <w:r>
        <w:rPr>
          <w:rFonts w:hint="eastAsia"/>
        </w:rPr>
        <w:t>消防安全协议书</w:t>
      </w:r>
      <w:bookmarkEnd w:id="0"/>
    </w:p>
    <w:p w14:paraId="74A619FD">
      <w:pPr>
        <w:jc w:val="righ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A-3-2-3</w:t>
      </w:r>
    </w:p>
    <w:p w14:paraId="1693B1BD">
      <w:pPr>
        <w:widowControl/>
        <w:spacing w:line="388" w:lineRule="exact"/>
        <w:ind w:firstLine="480" w:firstLineChars="200"/>
        <w:jc w:val="left"/>
        <w:rPr>
          <w:rFonts w:hint="eastAsia" w:ascii="Times New Roman" w:hAnsi="Times New Roman" w:cs="Times New Roman"/>
          <w:sz w:val="24"/>
          <w:szCs w:val="20"/>
        </w:rPr>
      </w:pPr>
    </w:p>
    <w:p w14:paraId="3824E7DD">
      <w:pPr>
        <w:keepNext w:val="0"/>
        <w:keepLines w:val="0"/>
        <w:pageBreakBefore w:val="0"/>
        <w:widowControl/>
        <w:kinsoku/>
        <w:wordWrap/>
        <w:overflowPunct/>
        <w:topLinePunct w:val="0"/>
        <w:autoSpaceDE/>
        <w:autoSpaceDN/>
        <w:bidi w:val="0"/>
        <w:adjustRightInd/>
        <w:snapToGrid/>
        <w:spacing w:line="578" w:lineRule="exact"/>
        <w:ind w:firstLine="643" w:firstLineChars="200"/>
        <w:jc w:val="both"/>
        <w:textAlignment w:val="auto"/>
        <w:rPr>
          <w:rFonts w:hint="eastAsia" w:ascii="仿宋_GB2312" w:hAnsi="仿宋_GB2312" w:eastAsia="仿宋_GB2312" w:cs="仿宋_GB2312"/>
          <w:color w:val="000000" w:themeColor="text1"/>
          <w:sz w:val="32"/>
          <w:szCs w:val="32"/>
          <w:lang w:val="en-US"/>
          <w14:textFill>
            <w14:solidFill>
              <w14:schemeClr w14:val="tx1"/>
            </w14:solidFill>
          </w14:textFill>
        </w:rPr>
      </w:pPr>
      <w:r>
        <w:rPr>
          <w:rFonts w:hint="eastAsia" w:ascii="仿宋_GB2312" w:hAnsi="仿宋_GB2312" w:eastAsia="仿宋_GB2312" w:cs="仿宋_GB2312"/>
          <w:b/>
          <w:color w:val="FF0000"/>
          <w:sz w:val="32"/>
          <w:szCs w:val="32"/>
          <w:highlight w:val="yellow"/>
          <w:lang w:eastAsia="zh-CN"/>
        </w:rPr>
        <w:t>承包人（甲方）</w:t>
      </w:r>
      <w:r>
        <w:rPr>
          <w:rFonts w:hint="eastAsia" w:ascii="仿宋_GB2312" w:hAnsi="仿宋_GB2312" w:eastAsia="仿宋_GB2312" w:cs="仿宋_GB2312"/>
          <w:sz w:val="32"/>
          <w:szCs w:val="32"/>
        </w:rPr>
        <w:t>：</w:t>
      </w:r>
      <w:r>
        <w:rPr>
          <w:rFonts w:hint="eastAsia" w:ascii="仿宋_GB2312" w:hAnsi="仿宋_GB2312" w:cs="仿宋_GB2312"/>
          <w:color w:val="000000" w:themeColor="text1"/>
          <w:sz w:val="32"/>
          <w:szCs w:val="32"/>
          <w:u w:val="single"/>
          <w:lang w:val="en-US" w:eastAsia="zh-CN"/>
          <w14:textFill>
            <w14:solidFill>
              <w14:schemeClr w14:val="tx1"/>
            </w14:solidFill>
          </w14:textFill>
        </w:rPr>
        <w:t>云南机场建设发展有限公司</w:t>
      </w:r>
      <w:r>
        <w:rPr>
          <w:rFonts w:hint="eastAsia" w:ascii="仿宋_GB2312" w:hAnsi="仿宋_GB2312" w:eastAsia="仿宋_GB2312" w:cs="仿宋_GB2312"/>
          <w:color w:val="FF0000"/>
          <w:sz w:val="32"/>
          <w:szCs w:val="32"/>
          <w:u w:val="single"/>
          <w:lang w:eastAsia="zh-CN"/>
        </w:rPr>
        <w:t>XXXX</w:t>
      </w:r>
      <w:r>
        <w:rPr>
          <w:rFonts w:hint="eastAsia" w:ascii="仿宋_GB2312" w:hAnsi="仿宋_GB2312" w:eastAsia="仿宋_GB2312" w:cs="仿宋_GB2312"/>
          <w:color w:val="000000" w:themeColor="text1"/>
          <w:sz w:val="32"/>
          <w:szCs w:val="32"/>
          <w:u w:val="single"/>
          <w:lang w:eastAsia="zh-CN"/>
          <w14:textFill>
            <w14:solidFill>
              <w14:schemeClr w14:val="tx1"/>
            </w14:solidFill>
          </w14:textFill>
        </w:rPr>
        <w:t>项目部</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p>
    <w:p w14:paraId="7E0FA1DD">
      <w:pPr>
        <w:keepNext w:val="0"/>
        <w:keepLines w:val="0"/>
        <w:pageBreakBefore w:val="0"/>
        <w:widowControl/>
        <w:kinsoku/>
        <w:wordWrap/>
        <w:overflowPunct/>
        <w:topLinePunct w:val="0"/>
        <w:autoSpaceDE/>
        <w:autoSpaceDN/>
        <w:bidi w:val="0"/>
        <w:adjustRightInd/>
        <w:snapToGrid/>
        <w:spacing w:line="578"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color w:val="FF0000"/>
          <w:sz w:val="32"/>
          <w:szCs w:val="32"/>
          <w:highlight w:val="yellow"/>
          <w:lang w:eastAsia="zh-CN"/>
        </w:rPr>
        <w:t>分包人（乙方）</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u w:val="single"/>
          <w:lang w:val="en-US" w:eastAsia="zh-CN"/>
        </w:rPr>
        <w:t xml:space="preserve">                              </w:t>
      </w:r>
    </w:p>
    <w:p w14:paraId="2BFCEEAE">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p>
    <w:p w14:paraId="0E0D0ED9">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1．项目名称：</w:t>
      </w:r>
      <w:r>
        <w:rPr>
          <w:rFonts w:hint="eastAsia" w:ascii="仿宋_GB2312" w:hAnsi="仿宋_GB2312" w:cs="仿宋_GB2312"/>
          <w:color w:val="000000" w:themeColor="text1"/>
          <w:sz w:val="32"/>
          <w:szCs w:val="32"/>
          <w:u w:val="none"/>
          <w:lang w:val="en-US" w:eastAsia="zh-CN"/>
          <w14:textFill>
            <w14:solidFill>
              <w14:schemeClr w14:val="tx1"/>
            </w14:solidFill>
          </w14:textFill>
        </w:rPr>
        <w:t>云南机场建设发展有限公司</w:t>
      </w:r>
      <w:r>
        <w:rPr>
          <w:rFonts w:hint="eastAsia" w:ascii="仿宋_GB2312" w:hAnsi="仿宋_GB2312" w:eastAsia="仿宋_GB2312" w:cs="仿宋_GB2312"/>
          <w:color w:val="FF0000"/>
          <w:sz w:val="32"/>
          <w:szCs w:val="32"/>
          <w:lang w:eastAsia="zh-CN"/>
        </w:rPr>
        <w:t>XXXX</w:t>
      </w:r>
      <w:r>
        <w:rPr>
          <w:rFonts w:hint="eastAsia" w:ascii="仿宋_GB2312" w:hAnsi="仿宋_GB2312" w:eastAsia="仿宋_GB2312" w:cs="仿宋_GB2312"/>
          <w:color w:val="auto"/>
          <w:sz w:val="32"/>
          <w:szCs w:val="32"/>
          <w:lang w:eastAsia="zh-CN"/>
        </w:rPr>
        <w:t>项目部</w:t>
      </w:r>
      <w:r>
        <w:rPr>
          <w:rFonts w:hint="eastAsia" w:ascii="仿宋_GB2312" w:hAnsi="仿宋_GB2312" w:eastAsia="仿宋_GB2312" w:cs="仿宋_GB2312"/>
          <w:color w:val="auto"/>
          <w:sz w:val="32"/>
          <w:szCs w:val="32"/>
        </w:rPr>
        <w:t>；</w:t>
      </w:r>
    </w:p>
    <w:p w14:paraId="4527BED8">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2．工程地点</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color w:val="FF0000"/>
          <w:sz w:val="32"/>
          <w:szCs w:val="32"/>
          <w:lang w:val="en-US" w:eastAsia="zh-CN"/>
        </w:rPr>
        <w:t>XXXXXXXXX</w:t>
      </w:r>
      <w:r>
        <w:rPr>
          <w:rFonts w:hint="eastAsia" w:ascii="仿宋_GB2312" w:hAnsi="仿宋_GB2312" w:eastAsia="仿宋_GB2312" w:cs="仿宋_GB2312"/>
          <w:sz w:val="32"/>
          <w:szCs w:val="32"/>
        </w:rPr>
        <w:t>；</w:t>
      </w:r>
    </w:p>
    <w:p w14:paraId="3DDA5C71">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3．分包范围；见协议书；</w:t>
      </w:r>
      <w:bookmarkStart w:id="1" w:name="_GoBack"/>
      <w:bookmarkEnd w:id="1"/>
    </w:p>
    <w:p w14:paraId="53D241D5">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起止时间：从乙方进场至分包工程结束。</w:t>
      </w:r>
    </w:p>
    <w:p w14:paraId="4D14A0A8">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了贯彻"预防为主、防消结合"的消防安全防火方针，"突出重点，早做准备，统筹安排，服从大局",以对人民的财产负责的精神，对可能出现的事故进行加强控制，确保施工安全，将损失降低到最低限度，杜绝重大事故发生，切实抓好防火工作，特签订消防安全协议书。协议双方须共同信守，严格履行。</w:t>
      </w:r>
    </w:p>
    <w:p w14:paraId="13B70927">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一、甲乙双方职责：</w:t>
      </w:r>
    </w:p>
    <w:p w14:paraId="085D554C">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1、甲乙双方都有维护消防安全、保护消防设施、预防火灾、报告火警的义务。任何单位、成年公民都有参加有组织的灭火工作的义务。</w:t>
      </w:r>
    </w:p>
    <w:p w14:paraId="6393A3C3">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2、消防产品的质量必须符合国家标准或者行业标准。</w:t>
      </w:r>
    </w:p>
    <w:p w14:paraId="4A57FB3B">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3、建筑构件和建筑材料的防火性能必须符合国家标准或者行业标准。</w:t>
      </w:r>
    </w:p>
    <w:p w14:paraId="20C692BA">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4、组织防火检查，及时消除火灾隐患。</w:t>
      </w:r>
    </w:p>
    <w:p w14:paraId="2BBB4E85">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5、保障疏散通道、安全出口畅通，不得堵塞消防通道。</w:t>
      </w:r>
    </w:p>
    <w:p w14:paraId="4D1E7511">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6、任何人发现火灾时，都应当立即报警，严禁谎报火警。</w:t>
      </w:r>
    </w:p>
    <w:p w14:paraId="6990549E">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7、所有参施人员在施工现场不准吸烟。</w:t>
      </w:r>
    </w:p>
    <w:p w14:paraId="4B0E590E">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二、甲方职责：</w:t>
      </w:r>
    </w:p>
    <w:p w14:paraId="1C90600F">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1、甲方对施工现场重点防火部位（仓库、易燃物堆放场所）要设置明显的防火标志，要"严禁烟火".</w:t>
      </w:r>
    </w:p>
    <w:p w14:paraId="6FBCD834">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2、甲方主要安全保卫消防领导，要对消防保卫人员日常工作进行提示指导。</w:t>
      </w:r>
    </w:p>
    <w:p w14:paraId="3C178C8D">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3、甲方消防保卫人员经常检查、维护、保养，保证消防器材灵敏有效。</w:t>
      </w:r>
    </w:p>
    <w:p w14:paraId="1E67DD3B">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4、甲方安全员负责监督检查乙方的消防安全工作及消防器材和设施的配置情况。</w:t>
      </w:r>
    </w:p>
    <w:p w14:paraId="5536543C">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5、甲方发现火灾隐患，要督促乙方及时整改。</w:t>
      </w:r>
    </w:p>
    <w:p w14:paraId="238D4BB0">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6、施工前甲方必须对乙方（施工人员）进行口头和书面防火安全交底，交底人及所有被交底人必须履行签字手续。</w:t>
      </w:r>
    </w:p>
    <w:p w14:paraId="41EAB48B">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三、乙方职责：</w:t>
      </w:r>
    </w:p>
    <w:p w14:paraId="0CA26F0B">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1、乙方要遵守国家及重庆市有关相关法律、法规、条例，执行甲方、公司及项目部文明施工安全管理有关规定。</w:t>
      </w:r>
    </w:p>
    <w:p w14:paraId="3C597463">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2、乙方需积极配合甲方组织的消防应急小组，消防应急小组成员必须包括乙方项目安全第一负责人。</w:t>
      </w:r>
    </w:p>
    <w:p w14:paraId="33063869">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3、乙方必须对施工人员进行施工前消防、防火安全教育、演练、普及消防安全常识。</w:t>
      </w:r>
    </w:p>
    <w:p w14:paraId="2DEB807A">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4、乙方要接受甲方对其消防工作的检查监督，接受甲方对其进行的消防知识提问及考试，要按照甲方的要求对不合格的消防项目及时整改，要服从甲方的安排。</w:t>
      </w:r>
    </w:p>
    <w:p w14:paraId="49B55A9D">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5、乙方要设消防安全员、义务消防员，做到人员落实，责任明确。</w:t>
      </w:r>
    </w:p>
    <w:p w14:paraId="1FA79F5C">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6、乙方发现火灾隐患要及时报告甲方并消除隐患。</w:t>
      </w:r>
    </w:p>
    <w:p w14:paraId="30E1F647">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7、乙方不准将消防器材及设施它用，不能随意破坏。</w:t>
      </w:r>
    </w:p>
    <w:p w14:paraId="493B9DE3">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8、乙方不准占用消防栓和消防通道，及时维护现场消防器材及消防栓的安全。</w:t>
      </w:r>
    </w:p>
    <w:p w14:paraId="2DC64801">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9、乙方使用的易燃、易爆材料应分类单独存放，保持通风，用电必须符合防火要求，必须有专人负责。</w:t>
      </w:r>
    </w:p>
    <w:p w14:paraId="358A23FE">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10、乙方不准随意动火和明火作业，乙方如须动火作业，作业人员每次动火作业前（电焊、气焊、喷灯等明火作业），必须办理动火申请，经项目部主管部门审批同意并落实看火监护人，在确认周围安全后，方可动火作业，动火设备必须安全完好。动火施工安全作业人员必须挂证上岗，懂防火知识，有防火预备措施，有看火人，记录动火时间、地点。五级以上大风天气不准动用明火作业。</w:t>
      </w:r>
    </w:p>
    <w:p w14:paraId="1B9F0844">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11、施工交叉作业时，防火措施不落实不准动火作业。</w:t>
      </w:r>
    </w:p>
    <w:p w14:paraId="7C491A33">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四、补充条款：</w:t>
      </w:r>
    </w:p>
    <w:p w14:paraId="3537AFC9">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1.本协议的签订不免除分包人应承担的协议中没有提及而政府法律、法规有相关规定的责任。</w:t>
      </w:r>
    </w:p>
    <w:p w14:paraId="1E788721">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2.本协议书在分包人进入现场时签订，一式两份，具有同等效力，由双方</w:t>
      </w:r>
      <w:r>
        <w:rPr>
          <w:rFonts w:hint="eastAsia" w:ascii="仿宋_GB2312" w:hAnsi="仿宋_GB2312" w:eastAsia="仿宋_GB2312" w:cs="仿宋_GB2312"/>
          <w:sz w:val="32"/>
          <w:szCs w:val="32"/>
          <w:lang w:eastAsia="zh-CN"/>
        </w:rPr>
        <w:t>各</w:t>
      </w:r>
      <w:r>
        <w:rPr>
          <w:rFonts w:hint="eastAsia" w:ascii="仿宋_GB2312" w:hAnsi="仿宋_GB2312" w:eastAsia="仿宋_GB2312" w:cs="仿宋_GB2312"/>
          <w:sz w:val="32"/>
          <w:szCs w:val="32"/>
        </w:rPr>
        <w:t>持一份。</w:t>
      </w:r>
    </w:p>
    <w:p w14:paraId="604908AE">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3.本协议书自签订之日起生效，随双方签订的经济合同的终止同时终止。</w:t>
      </w:r>
    </w:p>
    <w:p w14:paraId="37E928A4">
      <w:pPr>
        <w:keepNext w:val="0"/>
        <w:keepLines w:val="0"/>
        <w:pageBreakBefore w:val="0"/>
        <w:kinsoku/>
        <w:wordWrap/>
        <w:overflowPunct/>
        <w:topLinePunct w:val="0"/>
        <w:autoSpaceDE/>
        <w:autoSpaceDN/>
        <w:bidi w:val="0"/>
        <w:adjustRightInd/>
        <w:snapToGrid/>
        <w:spacing w:line="578" w:lineRule="exact"/>
        <w:jc w:val="both"/>
        <w:textAlignment w:val="auto"/>
        <w:rPr>
          <w:rFonts w:hint="eastAsia" w:ascii="仿宋_GB2312" w:hAnsi="仿宋_GB2312" w:eastAsia="仿宋_GB2312" w:cs="仿宋_GB2312"/>
          <w:sz w:val="32"/>
          <w:szCs w:val="32"/>
        </w:rPr>
        <w:sectPr>
          <w:pgSz w:w="11906" w:h="16840"/>
          <w:pgMar w:top="1440" w:right="1800" w:bottom="1440" w:left="1800" w:header="720" w:footer="720" w:gutter="0"/>
          <w:lnNumType w:countBy="0" w:distance="360"/>
          <w:cols w:space="720" w:num="1"/>
        </w:sectPr>
      </w:pPr>
    </w:p>
    <w:p w14:paraId="1B2FFEB1">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mc:AlternateContent>
          <mc:Choice Requires="wps">
            <w:drawing>
              <wp:anchor distT="0" distB="0" distL="114300" distR="114300" simplePos="0" relativeHeight="251659264" behindDoc="0" locked="0" layoutInCell="1" allowOverlap="1">
                <wp:simplePos x="0" y="0"/>
                <wp:positionH relativeFrom="column">
                  <wp:posOffset>-836295</wp:posOffset>
                </wp:positionH>
                <wp:positionV relativeFrom="paragraph">
                  <wp:posOffset>182880</wp:posOffset>
                </wp:positionV>
                <wp:extent cx="2762885" cy="1447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2762885" cy="1447800"/>
                        </a:xfrm>
                        <a:prstGeom prst="rect">
                          <a:avLst/>
                        </a:prstGeom>
                        <a:noFill/>
                        <a:ln>
                          <a:noFill/>
                        </a:ln>
                        <a:effectLst/>
                      </wps:spPr>
                      <wps:txbx>
                        <w:txbxContent>
                          <w:p w14:paraId="3B75B155">
                            <w:pPr>
                              <w:widowControl/>
                              <w:spacing w:line="480" w:lineRule="auto"/>
                              <w:ind w:firstLine="640" w:firstLineChars="200"/>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color w:val="FF0000"/>
                                <w:sz w:val="32"/>
                                <w:szCs w:val="32"/>
                                <w:highlight w:val="yellow"/>
                                <w:lang w:eastAsia="zh-CN"/>
                              </w:rPr>
                              <w:t>承包人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甲方）</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lang w:eastAsia="zh-CN"/>
                              </w:rPr>
                              <w:t>盖章）：</w:t>
                            </w:r>
                          </w:p>
                          <w:p w14:paraId="1E65ABA8">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color w:val="FF0000"/>
                                <w:sz w:val="32"/>
                                <w:szCs w:val="32"/>
                                <w:highlight w:val="yellow"/>
                                <w:lang w:eastAsia="zh-CN"/>
                              </w:rPr>
                              <w:t>承包人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甲方）</w:t>
                            </w:r>
                            <w:r>
                              <w:rPr>
                                <w:rFonts w:hint="eastAsia" w:ascii="仿宋_GB2312" w:hAnsi="仿宋_GB2312" w:eastAsia="仿宋_GB2312" w:cs="仿宋_GB2312"/>
                                <w:sz w:val="32"/>
                                <w:szCs w:val="32"/>
                                <w:lang w:eastAsia="zh-CN"/>
                              </w:rPr>
                              <w:t>代表</w:t>
                            </w:r>
                            <w:r>
                              <w:rPr>
                                <w:rFonts w:hint="eastAsia" w:ascii="仿宋_GB2312" w:hAnsi="仿宋_GB2312" w:eastAsia="仿宋_GB2312" w:cs="仿宋_GB2312"/>
                                <w:sz w:val="32"/>
                                <w:szCs w:val="32"/>
                                <w:lang w:val="en-US" w:eastAsia="zh-CN"/>
                              </w:rPr>
                              <w:t>：</w:t>
                            </w:r>
                          </w:p>
                          <w:p w14:paraId="17647947">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日     期：</w:t>
                            </w:r>
                          </w:p>
                        </w:txbxContent>
                      </wps:txbx>
                      <wps:bodyPr upright="1"/>
                    </wps:wsp>
                  </a:graphicData>
                </a:graphic>
              </wp:anchor>
            </w:drawing>
          </mc:Choice>
          <mc:Fallback>
            <w:pict>
              <v:shape id="_x0000_s1026" o:spid="_x0000_s1026" o:spt="202" type="#_x0000_t202" style="position:absolute;left:0pt;margin-left:-65.85pt;margin-top:14.4pt;height:114pt;width:217.55pt;z-index:251659264;mso-width-relative:page;mso-height-relative:page;" filled="f" stroked="f" coordsize="21600,21600" o:gfxdata="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jKfNLYAAAACwEAAA8AAAAAAAAAAQAgAAAAIgAAAGRycy9kb3ducmV2LnhtbFBLAQIUABQAAAAI&#10;AIdO4kDZF8fgtAEAAF0DAAAOAAAAAAAAAAEAIAAAACcBAABkcnMvZTJvRG9jLnhtbFBLBQYAAAAA&#10;BgAGAFkBAABNBQAAAAA=&#10;">
                <v:fill on="f" focussize="0,0"/>
                <v:stroke on="f"/>
                <v:imagedata o:title=""/>
                <o:lock v:ext="edit" aspectratio="f"/>
                <v:textbox>
                  <w:txbxContent>
                    <w:p w14:paraId="3B75B155">
                      <w:pPr>
                        <w:widowControl/>
                        <w:spacing w:line="480" w:lineRule="auto"/>
                        <w:ind w:firstLine="640" w:firstLineChars="200"/>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color w:val="FF0000"/>
                          <w:sz w:val="32"/>
                          <w:szCs w:val="32"/>
                          <w:highlight w:val="yellow"/>
                          <w:lang w:eastAsia="zh-CN"/>
                        </w:rPr>
                        <w:t>承包人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甲方）</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lang w:eastAsia="zh-CN"/>
                        </w:rPr>
                        <w:t>盖章）：</w:t>
                      </w:r>
                    </w:p>
                    <w:p w14:paraId="1E65ABA8">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color w:val="FF0000"/>
                          <w:sz w:val="32"/>
                          <w:szCs w:val="32"/>
                          <w:highlight w:val="yellow"/>
                          <w:lang w:eastAsia="zh-CN"/>
                        </w:rPr>
                        <w:t>承包人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甲方）</w:t>
                      </w:r>
                      <w:r>
                        <w:rPr>
                          <w:rFonts w:hint="eastAsia" w:ascii="仿宋_GB2312" w:hAnsi="仿宋_GB2312" w:eastAsia="仿宋_GB2312" w:cs="仿宋_GB2312"/>
                          <w:sz w:val="32"/>
                          <w:szCs w:val="32"/>
                          <w:lang w:eastAsia="zh-CN"/>
                        </w:rPr>
                        <w:t>代表</w:t>
                      </w:r>
                      <w:r>
                        <w:rPr>
                          <w:rFonts w:hint="eastAsia" w:ascii="仿宋_GB2312" w:hAnsi="仿宋_GB2312" w:eastAsia="仿宋_GB2312" w:cs="仿宋_GB2312"/>
                          <w:sz w:val="32"/>
                          <w:szCs w:val="32"/>
                          <w:lang w:val="en-US" w:eastAsia="zh-CN"/>
                        </w:rPr>
                        <w:t>：</w:t>
                      </w:r>
                    </w:p>
                    <w:p w14:paraId="17647947">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日     期：</w:t>
                      </w:r>
                    </w:p>
                  </w:txbxContent>
                </v:textbox>
              </v:shape>
            </w:pict>
          </mc:Fallback>
        </mc:AlternateContent>
      </w:r>
      <w:r>
        <w:rPr>
          <w:rFonts w:hint="eastAsia" w:ascii="仿宋_GB2312" w:hAnsi="仿宋_GB2312" w:eastAsia="仿宋_GB2312" w:cs="仿宋_GB2312"/>
          <w:sz w:val="32"/>
          <w:szCs w:val="32"/>
        </w:rPr>
        <mc:AlternateContent>
          <mc:Choice Requires="wps">
            <w:drawing>
              <wp:anchor distT="0" distB="0" distL="114300" distR="114300" simplePos="0" relativeHeight="251660288" behindDoc="0" locked="0" layoutInCell="1" allowOverlap="1">
                <wp:simplePos x="0" y="0"/>
                <wp:positionH relativeFrom="column">
                  <wp:posOffset>2635885</wp:posOffset>
                </wp:positionH>
                <wp:positionV relativeFrom="paragraph">
                  <wp:posOffset>267335</wp:posOffset>
                </wp:positionV>
                <wp:extent cx="2781300" cy="1447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781300" cy="1447800"/>
                        </a:xfrm>
                        <a:prstGeom prst="rect">
                          <a:avLst/>
                        </a:prstGeom>
                        <a:noFill/>
                        <a:ln>
                          <a:noFill/>
                        </a:ln>
                        <a:effectLst/>
                      </wps:spPr>
                      <wps:txbx>
                        <w:txbxContent>
                          <w:p w14:paraId="0B3A87A1">
                            <w:pPr>
                              <w:widowControl/>
                              <w:spacing w:line="480" w:lineRule="auto"/>
                              <w:ind w:firstLine="640" w:firstLineChars="200"/>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color w:val="FF0000"/>
                                <w:sz w:val="32"/>
                                <w:szCs w:val="32"/>
                                <w:highlight w:val="yellow"/>
                                <w:lang w:eastAsia="zh-CN"/>
                              </w:rPr>
                              <w:t>分包人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乙方）</w:t>
                            </w:r>
                            <w:r>
                              <w:rPr>
                                <w:rFonts w:hint="eastAsia" w:ascii="仿宋_GB2312" w:hAnsi="仿宋_GB2312" w:eastAsia="仿宋_GB2312" w:cs="仿宋_GB2312"/>
                                <w:sz w:val="32"/>
                                <w:szCs w:val="32"/>
                                <w:lang w:eastAsia="zh-CN"/>
                              </w:rPr>
                              <w:t>（盖章）：</w:t>
                            </w:r>
                          </w:p>
                          <w:p w14:paraId="380803CC">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color w:val="FF0000"/>
                                <w:sz w:val="32"/>
                                <w:szCs w:val="32"/>
                                <w:highlight w:val="yellow"/>
                                <w:lang w:eastAsia="zh-CN"/>
                              </w:rPr>
                              <w:t>分包人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乙方）</w:t>
                            </w:r>
                            <w:r>
                              <w:rPr>
                                <w:rFonts w:hint="eastAsia" w:ascii="仿宋_GB2312" w:hAnsi="仿宋_GB2312" w:eastAsia="仿宋_GB2312" w:cs="仿宋_GB2312"/>
                                <w:sz w:val="32"/>
                                <w:szCs w:val="32"/>
                                <w:lang w:eastAsia="zh-CN"/>
                              </w:rPr>
                              <w:t>代表</w:t>
                            </w:r>
                            <w:r>
                              <w:rPr>
                                <w:rFonts w:hint="eastAsia" w:ascii="仿宋_GB2312" w:hAnsi="仿宋_GB2312" w:eastAsia="仿宋_GB2312" w:cs="仿宋_GB2312"/>
                                <w:sz w:val="32"/>
                                <w:szCs w:val="32"/>
                                <w:lang w:val="en-US" w:eastAsia="zh-CN"/>
                              </w:rPr>
                              <w:t>：</w:t>
                            </w:r>
                          </w:p>
                          <w:p w14:paraId="60E7FCE4">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日     期：</w:t>
                            </w:r>
                          </w:p>
                        </w:txbxContent>
                      </wps:txbx>
                      <wps:bodyPr upright="1"/>
                    </wps:wsp>
                  </a:graphicData>
                </a:graphic>
              </wp:anchor>
            </w:drawing>
          </mc:Choice>
          <mc:Fallback>
            <w:pict>
              <v:shape id="_x0000_s1026" o:spid="_x0000_s1026" o:spt="202" type="#_x0000_t202" style="position:absolute;left:0pt;margin-left:207.55pt;margin-top:21.05pt;height:114pt;width:219pt;z-index:251660288;mso-width-relative:page;mso-height-relative:page;" filled="f" stroked="f" coordsize="21600,21600" o:gfxdata="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4xWYO&#10;1gAAAAoBAAAPAAAAAAAAAAEAIAAAACIAAABkcnMvZG93bnJldi54bWxQSwECFAAUAAAACACHTuJA&#10;ICjp57EBAABdAwAADgAAAAAAAAABACAAAAAlAQAAZHJzL2Uyb0RvYy54bWxQSwUGAAAAAAYABgBZ&#10;AQAASAUAAAAA&#10;">
                <v:fill on="f" focussize="0,0"/>
                <v:stroke on="f"/>
                <v:imagedata o:title=""/>
                <o:lock v:ext="edit" aspectratio="f"/>
                <v:textbox>
                  <w:txbxContent>
                    <w:p w14:paraId="0B3A87A1">
                      <w:pPr>
                        <w:widowControl/>
                        <w:spacing w:line="480" w:lineRule="auto"/>
                        <w:ind w:firstLine="640" w:firstLineChars="200"/>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color w:val="FF0000"/>
                          <w:sz w:val="32"/>
                          <w:szCs w:val="32"/>
                          <w:highlight w:val="yellow"/>
                          <w:lang w:eastAsia="zh-CN"/>
                        </w:rPr>
                        <w:t>分包人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乙方）</w:t>
                      </w:r>
                      <w:r>
                        <w:rPr>
                          <w:rFonts w:hint="eastAsia" w:ascii="仿宋_GB2312" w:hAnsi="仿宋_GB2312" w:eastAsia="仿宋_GB2312" w:cs="仿宋_GB2312"/>
                          <w:sz w:val="32"/>
                          <w:szCs w:val="32"/>
                          <w:lang w:eastAsia="zh-CN"/>
                        </w:rPr>
                        <w:t>（盖章）：</w:t>
                      </w:r>
                    </w:p>
                    <w:p w14:paraId="380803CC">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color w:val="FF0000"/>
                          <w:sz w:val="32"/>
                          <w:szCs w:val="32"/>
                          <w:highlight w:val="yellow"/>
                          <w:lang w:eastAsia="zh-CN"/>
                        </w:rPr>
                        <w:t>分包人</w:t>
                      </w:r>
                      <w:r>
                        <w:rPr>
                          <w:rFonts w:hint="eastAsia" w:ascii="仿宋_GB2312" w:hAnsi="仿宋_GB2312" w:cs="仿宋_GB2312"/>
                          <w:color w:val="FF0000"/>
                          <w:sz w:val="32"/>
                          <w:szCs w:val="32"/>
                          <w:highlight w:val="yellow"/>
                          <w:lang w:eastAsia="zh-CN"/>
                        </w:rPr>
                        <w:t>（</w:t>
                      </w:r>
                      <w:r>
                        <w:rPr>
                          <w:rFonts w:hint="eastAsia" w:ascii="仿宋_GB2312" w:hAnsi="仿宋_GB2312" w:cs="仿宋_GB2312"/>
                          <w:color w:val="FF0000"/>
                          <w:sz w:val="32"/>
                          <w:szCs w:val="32"/>
                          <w:highlight w:val="yellow"/>
                          <w:lang w:val="en-US" w:eastAsia="zh-CN"/>
                        </w:rPr>
                        <w:t>乙方）</w:t>
                      </w:r>
                      <w:r>
                        <w:rPr>
                          <w:rFonts w:hint="eastAsia" w:ascii="仿宋_GB2312" w:hAnsi="仿宋_GB2312" w:eastAsia="仿宋_GB2312" w:cs="仿宋_GB2312"/>
                          <w:sz w:val="32"/>
                          <w:szCs w:val="32"/>
                          <w:lang w:eastAsia="zh-CN"/>
                        </w:rPr>
                        <w:t>代表</w:t>
                      </w:r>
                      <w:r>
                        <w:rPr>
                          <w:rFonts w:hint="eastAsia" w:ascii="仿宋_GB2312" w:hAnsi="仿宋_GB2312" w:eastAsia="仿宋_GB2312" w:cs="仿宋_GB2312"/>
                          <w:sz w:val="32"/>
                          <w:szCs w:val="32"/>
                          <w:lang w:val="en-US" w:eastAsia="zh-CN"/>
                        </w:rPr>
                        <w:t>：</w:t>
                      </w:r>
                    </w:p>
                    <w:p w14:paraId="60E7FCE4">
                      <w:pPr>
                        <w:widowControl/>
                        <w:spacing w:line="480" w:lineRule="auto"/>
                        <w:ind w:firstLine="640" w:firstLineChars="200"/>
                        <w:jc w:val="lef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日     期：</w:t>
                      </w:r>
                    </w:p>
                  </w:txbxContent>
                </v:textbox>
              </v:shape>
            </w:pict>
          </mc:Fallback>
        </mc:AlternateContent>
      </w:r>
    </w:p>
    <w:p w14:paraId="1090341D">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p>
    <w:p w14:paraId="0B872960">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p>
    <w:p w14:paraId="375A1A0E">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p>
    <w:p w14:paraId="33D2F2A2">
      <w:pPr>
        <w:keepNext w:val="0"/>
        <w:keepLines w:val="0"/>
        <w:pageBreakBefore w:val="0"/>
        <w:widowControl/>
        <w:kinsoku/>
        <w:wordWrap/>
        <w:overflowPunct/>
        <w:topLinePunct w:val="0"/>
        <w:autoSpaceDE/>
        <w:autoSpaceDN/>
        <w:bidi w:val="0"/>
        <w:adjustRightInd/>
        <w:snapToGrid/>
        <w:spacing w:line="578" w:lineRule="exact"/>
        <w:ind w:firstLine="640" w:firstLineChars="200"/>
        <w:jc w:val="both"/>
        <w:textAlignment w:val="auto"/>
        <w:rPr>
          <w:rFonts w:hint="eastAsia" w:ascii="仿宋_GB2312" w:hAnsi="仿宋_GB2312" w:eastAsia="仿宋_GB2312" w:cs="仿宋_GB2312"/>
          <w:sz w:val="32"/>
          <w:szCs w:val="32"/>
        </w:rPr>
      </w:pPr>
    </w:p>
    <w:p w14:paraId="77FEA53C">
      <w:pPr>
        <w:keepNext w:val="0"/>
        <w:keepLines w:val="0"/>
        <w:pageBreakBefore w:val="0"/>
        <w:kinsoku/>
        <w:wordWrap/>
        <w:overflowPunct/>
        <w:topLinePunct w:val="0"/>
        <w:autoSpaceDE/>
        <w:autoSpaceDN/>
        <w:bidi w:val="0"/>
        <w:adjustRightInd/>
        <w:snapToGrid/>
        <w:spacing w:line="578" w:lineRule="exact"/>
        <w:ind w:firstLine="0" w:firstLineChars="0"/>
        <w:jc w:val="both"/>
        <w:textAlignment w:val="auto"/>
        <w:rPr>
          <w:rFonts w:hint="eastAsia" w:ascii="仿宋_GB2312" w:hAnsi="仿宋_GB2312" w:eastAsia="仿宋_GB2312" w:cs="仿宋_GB2312"/>
          <w:sz w:val="32"/>
          <w:szCs w:val="32"/>
        </w:rPr>
        <w:sectPr>
          <w:type w:val="continuous"/>
          <w:pgSz w:w="11906" w:h="16840"/>
          <w:pgMar w:top="1440" w:right="1800" w:bottom="1440" w:left="1800" w:header="720" w:footer="720" w:gutter="0"/>
          <w:lnNumType w:countBy="0" w:distance="360"/>
          <w:cols w:equalWidth="0" w:num="2">
            <w:col w:w="10100" w:space="10"/>
            <w:col w:w="4150"/>
          </w:cols>
        </w:sectPr>
      </w:pPr>
    </w:p>
    <w:p w14:paraId="5D4DDEED"/>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221D29"/>
    <w:rsid w:val="5F9D4A89"/>
    <w:rsid w:val="67FA6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78" w:lineRule="exact"/>
      <w:jc w:val="both"/>
    </w:pPr>
    <w:rPr>
      <w:rFonts w:eastAsia="仿宋_GB2312" w:asciiTheme="minorAscii" w:hAnsiTheme="minorAscii" w:cstheme="minorBidi"/>
      <w:kern w:val="2"/>
      <w:sz w:val="3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680" w:lineRule="exact"/>
      <w:jc w:val="center"/>
      <w:outlineLvl w:val="0"/>
    </w:pPr>
    <w:rPr>
      <w:rFonts w:eastAsia="方正小标宋简体" w:asciiTheme="minorAscii" w:hAnsiTheme="minorAscii"/>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1342</Words>
  <Characters>1369</Characters>
  <Lines>0</Lines>
  <Paragraphs>0</Paragraphs>
  <TotalTime>0</TotalTime>
  <ScaleCrop>false</ScaleCrop>
  <LinksUpToDate>false</LinksUpToDate>
  <CharactersWithSpaces>1400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2021-05-14T01:35:00Z</dcterms:created>
  <dc:creator>admin</dc:creator>
  <cp:lastModifiedBy>呮許伱の承諾</cp:lastModifiedBy>
  <dcterms:modified xsi:type="dcterms:W3CDTF">2025-02-13T01:59:23Z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eyJoZGlkIjoiNjg1ZGYzODhiNGVmYWY1ZjdjZTJiZjExZjFiZjY3YzEiLCJ1c2VySWQiOiI2MzcwNDkyNTMifQ==</vt:lpwstr>
  </property>
  <property fmtid="{D5CDD505-2E9C-101B-9397-08002B2CF9AE}" pid="4" name="ICV">
    <vt:lpwstr>A733A3743A204837B0A4592E98A05A82_12</vt:lpwstr>
  </property>
</Properties>
</file>