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840"/>
        </w:tabs>
        <w:autoSpaceDE w:val="0"/>
        <w:autoSpaceDN w:val="0"/>
        <w:adjustRightInd w:val="0"/>
        <w:spacing w:line="560" w:lineRule="exact"/>
        <w:jc w:val="center"/>
        <w:outlineLvl w:val="2"/>
        <w:rPr>
          <w:rFonts w:ascii="方正小标宋简体" w:hAnsi="华文中宋" w:eastAsia="方正小标宋简体" w:cs="MingLiU"/>
          <w:color w:val="000000"/>
          <w:kern w:val="0"/>
          <w:sz w:val="32"/>
          <w:szCs w:val="32"/>
        </w:rPr>
      </w:pPr>
      <w:r>
        <w:rPr>
          <w:rFonts w:hint="eastAsia" w:ascii="方正小标宋简体" w:hAnsi="华文中宋" w:eastAsia="方正小标宋简体" w:cs="MingLiU"/>
          <w:color w:val="000000"/>
          <w:kern w:val="0"/>
          <w:sz w:val="32"/>
          <w:szCs w:val="32"/>
        </w:rPr>
        <w:t>顶管</w:t>
      </w:r>
      <w:r>
        <w:rPr>
          <w:rFonts w:hint="eastAsia" w:ascii="方正小标宋简体" w:hAnsi="华文中宋" w:eastAsia="方正小标宋简体" w:cs="MingLiU"/>
          <w:color w:val="000000"/>
          <w:kern w:val="0"/>
          <w:sz w:val="32"/>
          <w:szCs w:val="32"/>
          <w:lang w:eastAsia="zh-CN"/>
        </w:rPr>
        <w:t>（</w:t>
      </w:r>
      <w:r>
        <w:rPr>
          <w:rFonts w:hint="eastAsia" w:ascii="方正小标宋简体" w:hAnsi="华文中宋" w:eastAsia="方正小标宋简体" w:cs="MingLiU"/>
          <w:color w:val="000000"/>
          <w:kern w:val="0"/>
          <w:sz w:val="32"/>
          <w:szCs w:val="32"/>
          <w:lang w:val="en-US" w:eastAsia="zh-CN"/>
        </w:rPr>
        <w:t>含工作井、人工和机械顶管</w:t>
      </w:r>
      <w:r>
        <w:rPr>
          <w:rFonts w:hint="eastAsia" w:ascii="方正小标宋简体" w:hAnsi="华文中宋" w:eastAsia="方正小标宋简体" w:cs="MingLiU"/>
          <w:color w:val="000000"/>
          <w:kern w:val="0"/>
          <w:sz w:val="32"/>
          <w:szCs w:val="32"/>
          <w:lang w:eastAsia="zh-CN"/>
        </w:rPr>
        <w:t>）</w:t>
      </w:r>
      <w:r>
        <w:rPr>
          <w:rFonts w:hint="eastAsia" w:ascii="方正小标宋简体" w:hAnsi="华文中宋" w:eastAsia="方正小标宋简体" w:cs="MingLiU"/>
          <w:color w:val="000000"/>
          <w:kern w:val="0"/>
          <w:sz w:val="32"/>
          <w:szCs w:val="32"/>
        </w:rPr>
        <w:t>作业安全技术交底</w:t>
      </w:r>
    </w:p>
    <w:p>
      <w:pPr>
        <w:autoSpaceDE w:val="0"/>
        <w:autoSpaceDN w:val="0"/>
        <w:adjustRightInd w:val="0"/>
        <w:spacing w:after="156" w:afterLines="50" w:line="260" w:lineRule="exact"/>
        <w:jc w:val="right"/>
        <w:outlineLvl w:val="2"/>
        <w:rPr>
          <w:rFonts w:hint="default" w:ascii="仿宋_GB2312" w:eastAsia="仿宋_GB2312" w:cs="MingLiU"/>
          <w:color w:val="000000"/>
          <w:kern w:val="0"/>
          <w:sz w:val="24"/>
          <w:lang w:val="en-US" w:eastAsia="zh-CN"/>
        </w:rPr>
      </w:pPr>
      <w:r>
        <w:rPr>
          <w:rFonts w:hint="eastAsia" w:ascii="仿宋_GB2312" w:eastAsia="仿宋_GB2312" w:cs="MingLiU"/>
          <w:color w:val="000000"/>
          <w:kern w:val="0"/>
          <w:sz w:val="24"/>
          <w:lang w:val="en-US" w:eastAsia="zh-CN"/>
        </w:rPr>
        <w:t>A-6-11</w:t>
      </w:r>
    </w:p>
    <w:tbl>
      <w:tblPr>
        <w:tblStyle w:val="4"/>
        <w:tblW w:w="10061" w:type="dxa"/>
        <w:jc w:val="center"/>
        <w:tblLayout w:type="fixed"/>
        <w:tblCellMar>
          <w:top w:w="0" w:type="dxa"/>
          <w:left w:w="0" w:type="dxa"/>
          <w:bottom w:w="0" w:type="dxa"/>
          <w:right w:w="0" w:type="dxa"/>
        </w:tblCellMar>
      </w:tblPr>
      <w:tblGrid>
        <w:gridCol w:w="1285"/>
        <w:gridCol w:w="418"/>
        <w:gridCol w:w="436"/>
        <w:gridCol w:w="1377"/>
        <w:gridCol w:w="191"/>
        <w:gridCol w:w="1455"/>
        <w:gridCol w:w="1166"/>
        <w:gridCol w:w="854"/>
        <w:gridCol w:w="96"/>
        <w:gridCol w:w="624"/>
        <w:gridCol w:w="218"/>
        <w:gridCol w:w="98"/>
        <w:gridCol w:w="1843"/>
      </w:tblGrid>
      <w:tr>
        <w:tblPrEx>
          <w:tblCellMar>
            <w:top w:w="0" w:type="dxa"/>
            <w:left w:w="0" w:type="dxa"/>
            <w:bottom w:w="0" w:type="dxa"/>
            <w:right w:w="0" w:type="dxa"/>
          </w:tblCellMar>
        </w:tblPrEx>
        <w:trPr>
          <w:trHeight w:val="442" w:hRule="exact"/>
          <w:jc w:val="center"/>
        </w:trPr>
        <w:tc>
          <w:tcPr>
            <w:tcW w:w="7182" w:type="dxa"/>
            <w:gridSpan w:val="8"/>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顶管</w:t>
            </w:r>
            <w:r>
              <w:rPr>
                <w:rFonts w:hint="eastAsia" w:ascii="仿宋_GB2312" w:eastAsia="仿宋_GB2312" w:cs="MingLiU"/>
                <w:color w:val="000000"/>
                <w:spacing w:val="1"/>
                <w:kern w:val="0"/>
                <w:sz w:val="24"/>
                <w:lang w:eastAsia="zh-CN"/>
              </w:rPr>
              <w:t>（</w:t>
            </w:r>
            <w:r>
              <w:rPr>
                <w:rFonts w:hint="eastAsia" w:ascii="仿宋_GB2312" w:eastAsia="仿宋_GB2312" w:cs="MingLiU"/>
                <w:color w:val="000000"/>
                <w:spacing w:val="1"/>
                <w:kern w:val="0"/>
                <w:sz w:val="24"/>
                <w:lang w:val="en-US" w:eastAsia="zh-CN"/>
              </w:rPr>
              <w:t>含工作井、人工和机械顶管</w:t>
            </w:r>
            <w:r>
              <w:rPr>
                <w:rFonts w:hint="eastAsia" w:ascii="仿宋_GB2312" w:eastAsia="仿宋_GB2312" w:cs="MingLiU"/>
                <w:color w:val="000000"/>
                <w:spacing w:val="1"/>
                <w:kern w:val="0"/>
                <w:sz w:val="24"/>
                <w:lang w:eastAsia="zh-CN"/>
              </w:rPr>
              <w:t>）</w:t>
            </w:r>
            <w:r>
              <w:rPr>
                <w:rFonts w:hint="eastAsia" w:ascii="仿宋_GB2312" w:eastAsia="仿宋_GB2312" w:cs="MingLiU"/>
                <w:color w:val="000000"/>
                <w:spacing w:val="1"/>
                <w:kern w:val="0"/>
                <w:sz w:val="24"/>
                <w:lang w:val="en-US" w:eastAsia="zh-CN"/>
              </w:rPr>
              <w:t>作业</w:t>
            </w:r>
            <w:r>
              <w:rPr>
                <w:rFonts w:hint="eastAsia" w:ascii="仿宋_GB2312" w:eastAsia="仿宋_GB2312" w:cs="MingLiU"/>
                <w:color w:val="000000"/>
                <w:spacing w:val="1"/>
                <w:kern w:val="0"/>
                <w:sz w:val="24"/>
              </w:rPr>
              <w:t>安全技术交底表</w:t>
            </w:r>
          </w:p>
        </w:tc>
        <w:tc>
          <w:tcPr>
            <w:tcW w:w="938"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编号</w:t>
            </w:r>
          </w:p>
        </w:tc>
        <w:tc>
          <w:tcPr>
            <w:tcW w:w="1941" w:type="dxa"/>
            <w:gridSpan w:val="2"/>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454" w:hRule="exact"/>
          <w:jc w:val="center"/>
        </w:trPr>
        <w:tc>
          <w:tcPr>
            <w:tcW w:w="1703" w:type="dxa"/>
            <w:gridSpan w:val="2"/>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olor w:val="000000"/>
                <w:kern w:val="0"/>
                <w:sz w:val="24"/>
              </w:rPr>
            </w:pPr>
            <w:r>
              <w:rPr>
                <w:rFonts w:hint="eastAsia" w:ascii="仿宋_GB2312" w:eastAsia="仿宋_GB2312" w:cs="MingLiU"/>
                <w:color w:val="000000"/>
                <w:spacing w:val="1"/>
                <w:kern w:val="0"/>
                <w:sz w:val="24"/>
              </w:rPr>
              <w:t>工程名称</w:t>
            </w:r>
          </w:p>
          <w:p>
            <w:pPr>
              <w:autoSpaceDE w:val="0"/>
              <w:autoSpaceDN w:val="0"/>
              <w:adjustRightInd w:val="0"/>
              <w:spacing w:line="400" w:lineRule="exact"/>
              <w:jc w:val="center"/>
              <w:rPr>
                <w:rFonts w:ascii="仿宋_GB2312" w:eastAsia="仿宋_GB2312" w:cs="MingLiU"/>
                <w:color w:val="000000"/>
                <w:spacing w:val="1"/>
                <w:kern w:val="0"/>
                <w:sz w:val="24"/>
              </w:rPr>
            </w:pPr>
          </w:p>
        </w:tc>
        <w:tc>
          <w:tcPr>
            <w:tcW w:w="8358" w:type="dxa"/>
            <w:gridSpan w:val="11"/>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00" w:lineRule="exact"/>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478" w:hRule="exact"/>
          <w:jc w:val="center"/>
        </w:trPr>
        <w:tc>
          <w:tcPr>
            <w:tcW w:w="1703" w:type="dxa"/>
            <w:gridSpan w:val="2"/>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施工单位</w:t>
            </w:r>
          </w:p>
        </w:tc>
        <w:tc>
          <w:tcPr>
            <w:tcW w:w="2004"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c>
          <w:tcPr>
            <w:tcW w:w="1455" w:type="dxa"/>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交底部位</w:t>
            </w:r>
          </w:p>
        </w:tc>
        <w:tc>
          <w:tcPr>
            <w:tcW w:w="2116"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c>
          <w:tcPr>
            <w:tcW w:w="940"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工种</w:t>
            </w:r>
          </w:p>
        </w:tc>
        <w:tc>
          <w:tcPr>
            <w:tcW w:w="1843" w:type="dxa"/>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顶管工</w:t>
            </w:r>
          </w:p>
        </w:tc>
      </w:tr>
      <w:tr>
        <w:tblPrEx>
          <w:tblCellMar>
            <w:top w:w="0" w:type="dxa"/>
            <w:left w:w="0" w:type="dxa"/>
            <w:bottom w:w="0" w:type="dxa"/>
            <w:right w:w="0" w:type="dxa"/>
          </w:tblCellMar>
        </w:tblPrEx>
        <w:trPr>
          <w:trHeight w:val="454" w:hRule="atLeast"/>
          <w:jc w:val="center"/>
        </w:trPr>
        <w:tc>
          <w:tcPr>
            <w:tcW w:w="10061" w:type="dxa"/>
            <w:gridSpan w:val="13"/>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安全技术交底的内容</w:t>
            </w:r>
          </w:p>
        </w:tc>
      </w:tr>
      <w:tr>
        <w:tblPrEx>
          <w:tblCellMar>
            <w:top w:w="0" w:type="dxa"/>
            <w:left w:w="0" w:type="dxa"/>
            <w:bottom w:w="0" w:type="dxa"/>
            <w:right w:w="0" w:type="dxa"/>
          </w:tblCellMar>
        </w:tblPrEx>
        <w:trPr>
          <w:trHeight w:val="7954" w:hRule="atLeast"/>
          <w:jc w:val="center"/>
        </w:trPr>
        <w:tc>
          <w:tcPr>
            <w:tcW w:w="10061" w:type="dxa"/>
            <w:gridSpan w:val="13"/>
            <w:tcBorders>
              <w:top w:val="single" w:color="000000" w:sz="4" w:space="0"/>
              <w:left w:val="single" w:color="000000" w:sz="4" w:space="0"/>
              <w:bottom w:val="single" w:color="auto" w:sz="4" w:space="0"/>
              <w:right w:val="single" w:color="000000" w:sz="4" w:space="0"/>
            </w:tcBorders>
          </w:tcPr>
          <w:p>
            <w:pPr>
              <w:pStyle w:val="2"/>
              <w:numPr>
                <w:ilvl w:val="0"/>
                <w:numId w:val="0"/>
              </w:numPr>
              <w:ind w:firstLine="482" w:firstLineChars="200"/>
              <w:rPr>
                <w:rFonts w:hint="eastAsia" w:ascii="仿宋_GB2312" w:hAnsi="仿宋_GB2312" w:eastAsia="仿宋_GB2312" w:cs="仿宋_GB2312"/>
                <w:sz w:val="24"/>
                <w:szCs w:val="24"/>
                <w:lang w:val="en-US" w:eastAsia="zh-CN"/>
              </w:rPr>
            </w:pPr>
            <w:r>
              <w:rPr>
                <w:rFonts w:hint="eastAsia"/>
                <w:sz w:val="24"/>
                <w:szCs w:val="22"/>
                <w:lang w:val="en-US" w:eastAsia="zh-CN"/>
              </w:rPr>
              <w:t>一</w:t>
            </w:r>
            <w:r>
              <w:rPr>
                <w:rFonts w:hint="eastAsia" w:ascii="仿宋_GB2312" w:hAnsi="仿宋_GB2312" w:eastAsia="仿宋_GB2312" w:cs="仿宋_GB2312"/>
                <w:sz w:val="24"/>
                <w:szCs w:val="24"/>
                <w:lang w:val="en-US" w:eastAsia="zh-CN"/>
              </w:rPr>
              <w:t>、顶管作业安全技术交底</w:t>
            </w:r>
          </w:p>
          <w:p>
            <w:pPr>
              <w:keepNext w:val="0"/>
              <w:keepLines w:val="0"/>
              <w:pageBreakBefore w:val="0"/>
              <w:widowControl/>
              <w:suppressLineNumbers w:val="0"/>
              <w:kinsoku/>
              <w:wordWrap/>
              <w:overflowPunct/>
              <w:topLinePunct w:val="0"/>
              <w:autoSpaceDE/>
              <w:autoSpaceDN/>
              <w:bidi w:val="0"/>
              <w:spacing w:line="400" w:lineRule="exact"/>
              <w:ind w:firstLine="482" w:firstLineChars="200"/>
              <w:jc w:val="left"/>
              <w:textAlignment w:val="auto"/>
              <w:rPr>
                <w:rFonts w:hint="eastAsia" w:ascii="仿宋_GB2312" w:hAnsi="仿宋_GB2312" w:eastAsia="仿宋_GB2312" w:cs="仿宋_GB2312"/>
                <w:b/>
                <w:bCs/>
                <w:sz w:val="24"/>
                <w:szCs w:val="24"/>
                <w:lang w:val="en-US"/>
              </w:rPr>
            </w:pPr>
            <w:r>
              <w:rPr>
                <w:rFonts w:hint="eastAsia" w:ascii="仿宋_GB2312" w:hAnsi="仿宋_GB2312" w:eastAsia="仿宋_GB2312" w:cs="仿宋_GB2312"/>
                <w:b/>
                <w:bCs/>
                <w:color w:val="000000"/>
                <w:kern w:val="0"/>
                <w:sz w:val="24"/>
                <w:szCs w:val="24"/>
                <w:lang w:val="en-US" w:eastAsia="zh-CN" w:bidi="ar"/>
              </w:rPr>
              <w:t>（一）、工作井及吊装</w:t>
            </w:r>
          </w:p>
          <w:p>
            <w:pPr>
              <w:keepNext w:val="0"/>
              <w:keepLines w:val="0"/>
              <w:pageBreakBefore w:val="0"/>
              <w:widowControl/>
              <w:suppressLineNumbers w:val="0"/>
              <w:kinsoku/>
              <w:wordWrap/>
              <w:overflowPunct/>
              <w:topLinePunct w:val="0"/>
              <w:autoSpaceDE/>
              <w:autoSpaceDN/>
              <w:bidi w:val="0"/>
              <w:spacing w:line="400" w:lineRule="exact"/>
              <w:ind w:firstLine="480" w:firstLineChars="20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kern w:val="0"/>
                <w:sz w:val="24"/>
                <w:szCs w:val="24"/>
                <w:lang w:val="en-US" w:eastAsia="zh-CN" w:bidi="ar"/>
              </w:rPr>
              <w:t>1、施工现场用泡沫围挡隔离围蔽，实行全封闭施工，设置警示红灯、反光条等安全醒目标记，提醒过往车辆及行人注意安全。避免误撞工地伤害施工人员，造成安全事故。并按文明施工要求贴出相关标语及警示标志。</w:t>
            </w:r>
          </w:p>
          <w:p>
            <w:pPr>
              <w:keepNext w:val="0"/>
              <w:keepLines w:val="0"/>
              <w:pageBreakBefore w:val="0"/>
              <w:widowControl/>
              <w:suppressLineNumbers w:val="0"/>
              <w:kinsoku/>
              <w:wordWrap/>
              <w:overflowPunct/>
              <w:topLinePunct w:val="0"/>
              <w:autoSpaceDE/>
              <w:autoSpaceDN/>
              <w:bidi w:val="0"/>
              <w:spacing w:line="400" w:lineRule="exact"/>
              <w:ind w:firstLine="480" w:firstLineChars="200"/>
              <w:jc w:val="left"/>
              <w:textAlignment w:val="auto"/>
              <w:rPr>
                <w:rFonts w:hint="eastAsia"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2、吊运泥土、石块用的吊桶、滑轮、吊钩应完好牢固，不要装得太满。吊运时，井下操作人员必须离开工作面，方可起吊。井下顶管作业人员必须戴安全帽，严禁不戴安全帽作业。吊运上来的泥土、石块要及时清运，且应堆放在离井口边沿1.5米以外，并且高度不得超过1.2米。</w:t>
            </w:r>
          </w:p>
          <w:p>
            <w:pPr>
              <w:keepNext w:val="0"/>
              <w:keepLines w:val="0"/>
              <w:pageBreakBefore w:val="0"/>
              <w:widowControl/>
              <w:suppressLineNumbers w:val="0"/>
              <w:kinsoku/>
              <w:wordWrap/>
              <w:overflowPunct/>
              <w:topLinePunct w:val="0"/>
              <w:autoSpaceDE/>
              <w:autoSpaceDN/>
              <w:bidi w:val="0"/>
              <w:spacing w:line="400" w:lineRule="exact"/>
              <w:ind w:firstLine="480" w:firstLineChars="200"/>
              <w:jc w:val="left"/>
              <w:textAlignment w:val="auto"/>
              <w:rPr>
                <w:rFonts w:hint="eastAsia"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3、在人员进管前要用气体检测仪或活体进行管道内气体浓度的探测，若发现有毒有害气体（在有毒有害气体未处理完毕之前，未经项目部许可，不准任何人擅自下井作业）。</w:t>
            </w:r>
          </w:p>
          <w:p>
            <w:pPr>
              <w:keepNext w:val="0"/>
              <w:keepLines w:val="0"/>
              <w:pageBreakBefore w:val="0"/>
              <w:widowControl/>
              <w:suppressLineNumbers w:val="0"/>
              <w:kinsoku/>
              <w:wordWrap/>
              <w:overflowPunct/>
              <w:topLinePunct w:val="0"/>
              <w:autoSpaceDE/>
              <w:autoSpaceDN/>
              <w:bidi w:val="0"/>
              <w:spacing w:line="400" w:lineRule="exact"/>
              <w:ind w:firstLine="480" w:firstLineChars="200"/>
              <w:jc w:val="left"/>
              <w:textAlignment w:val="auto"/>
              <w:rPr>
                <w:rFonts w:hint="eastAsia"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4、工作面开挖及顶管顶进、接缝等施工，必须先进行密闭空间作业申请，先申请、后施工。</w:t>
            </w:r>
          </w:p>
          <w:p>
            <w:pPr>
              <w:keepNext w:val="0"/>
              <w:keepLines w:val="0"/>
              <w:pageBreakBefore w:val="0"/>
              <w:widowControl/>
              <w:suppressLineNumbers w:val="0"/>
              <w:kinsoku/>
              <w:wordWrap/>
              <w:overflowPunct/>
              <w:topLinePunct w:val="0"/>
              <w:autoSpaceDE/>
              <w:autoSpaceDN/>
              <w:bidi w:val="0"/>
              <w:spacing w:line="400" w:lineRule="exact"/>
              <w:ind w:firstLine="482" w:firstLineChars="200"/>
              <w:jc w:val="left"/>
              <w:textAlignment w:val="auto"/>
              <w:rPr>
                <w:rFonts w:hint="eastAsia"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b/>
                <w:bCs/>
                <w:color w:val="000000"/>
                <w:kern w:val="0"/>
                <w:sz w:val="24"/>
                <w:szCs w:val="24"/>
                <w:lang w:val="en-US" w:eastAsia="zh-CN" w:bidi="ar"/>
              </w:rPr>
              <w:t>5、</w:t>
            </w:r>
            <w:r>
              <w:rPr>
                <w:rFonts w:hint="eastAsia" w:ascii="仿宋_GB2312" w:hAnsi="仿宋_GB2312" w:eastAsia="仿宋_GB2312" w:cs="仿宋_GB2312"/>
                <w:color w:val="000000"/>
                <w:kern w:val="0"/>
                <w:sz w:val="24"/>
                <w:szCs w:val="24"/>
                <w:lang w:val="en-US" w:eastAsia="zh-CN" w:bidi="ar"/>
              </w:rPr>
              <w:t>工作井四周连续设立防护围栏，并在井口出入位置设置合页门，并保证无人状态下关闭上锁。6、工作井采用人工掘进方法施工，基坑开挖深度要根据土层和地下水的情况确定，以确保井体周边土体的稳定性。</w:t>
            </w:r>
          </w:p>
          <w:p>
            <w:pPr>
              <w:pStyle w:val="2"/>
              <w:keepNext w:val="0"/>
              <w:keepLines w:val="0"/>
              <w:pageBreakBefore w:val="0"/>
              <w:kinsoku/>
              <w:wordWrap/>
              <w:overflowPunct/>
              <w:topLinePunct w:val="0"/>
              <w:autoSpaceDE/>
              <w:autoSpaceDN/>
              <w:bidi w:val="0"/>
              <w:spacing w:line="400" w:lineRule="exact"/>
              <w:ind w:firstLine="480" w:firstLineChars="200"/>
              <w:textAlignment w:val="auto"/>
              <w:rPr>
                <w:rFonts w:hint="eastAsia" w:ascii="仿宋_GB2312" w:hAnsi="仿宋_GB2312" w:eastAsia="仿宋_GB2312" w:cs="仿宋_GB2312"/>
                <w:b w:val="0"/>
                <w:bCs/>
                <w:sz w:val="24"/>
                <w:szCs w:val="24"/>
                <w:lang w:val="en-US" w:eastAsia="zh-CN"/>
              </w:rPr>
            </w:pPr>
            <w:r>
              <w:rPr>
                <w:rFonts w:hint="eastAsia" w:ascii="仿宋_GB2312" w:hAnsi="仿宋_GB2312" w:eastAsia="仿宋_GB2312" w:cs="仿宋_GB2312"/>
                <w:b w:val="0"/>
                <w:bCs/>
                <w:color w:val="000000"/>
                <w:kern w:val="0"/>
                <w:sz w:val="24"/>
                <w:szCs w:val="24"/>
                <w:lang w:val="en-US" w:eastAsia="zh-CN" w:bidi="ar"/>
              </w:rPr>
              <w:t>7、工作井护壁的钢筋、模板、混凝土施工时，脚手架须安全可靠，验收合格。高处作业人员系好安全带。</w:t>
            </w:r>
          </w:p>
          <w:p>
            <w:pPr>
              <w:keepNext w:val="0"/>
              <w:keepLines w:val="0"/>
              <w:pageBreakBefore w:val="0"/>
              <w:widowControl/>
              <w:suppressLineNumbers w:val="0"/>
              <w:kinsoku/>
              <w:wordWrap/>
              <w:overflowPunct/>
              <w:topLinePunct w:val="0"/>
              <w:autoSpaceDE/>
              <w:autoSpaceDN/>
              <w:bidi w:val="0"/>
              <w:spacing w:line="400" w:lineRule="exact"/>
              <w:ind w:firstLine="480" w:firstLineChars="20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kern w:val="0"/>
                <w:sz w:val="24"/>
                <w:szCs w:val="24"/>
                <w:lang w:val="en-US" w:eastAsia="zh-CN" w:bidi="ar"/>
              </w:rPr>
              <w:t>8、上下扶梯设置要安全可靠，并设扶手护栏，挂警示牌，下部挂好安全密目网，防止坠物伤人事故发生。</w:t>
            </w:r>
          </w:p>
          <w:p>
            <w:pPr>
              <w:keepNext w:val="0"/>
              <w:keepLines w:val="0"/>
              <w:pageBreakBefore w:val="0"/>
              <w:widowControl/>
              <w:suppressLineNumbers w:val="0"/>
              <w:kinsoku/>
              <w:wordWrap/>
              <w:overflowPunct/>
              <w:topLinePunct w:val="0"/>
              <w:autoSpaceDE/>
              <w:autoSpaceDN/>
              <w:bidi w:val="0"/>
              <w:spacing w:line="400" w:lineRule="exact"/>
              <w:ind w:firstLine="482" w:firstLineChars="200"/>
              <w:jc w:val="left"/>
              <w:textAlignment w:val="auto"/>
              <w:rPr>
                <w:rFonts w:hint="eastAsia" w:ascii="仿宋_GB2312" w:hAnsi="仿宋_GB2312" w:eastAsia="仿宋_GB2312" w:cs="仿宋_GB2312"/>
                <w:b/>
                <w:bCs/>
                <w:color w:val="000000"/>
                <w:kern w:val="0"/>
                <w:sz w:val="24"/>
                <w:szCs w:val="24"/>
                <w:lang w:val="en-US" w:eastAsia="zh-CN" w:bidi="ar"/>
              </w:rPr>
            </w:pPr>
            <w:r>
              <w:rPr>
                <w:rFonts w:hint="eastAsia" w:ascii="仿宋_GB2312" w:hAnsi="仿宋_GB2312" w:eastAsia="仿宋_GB2312" w:cs="仿宋_GB2312"/>
                <w:b/>
                <w:bCs/>
                <w:color w:val="000000"/>
                <w:kern w:val="0"/>
                <w:sz w:val="24"/>
                <w:szCs w:val="24"/>
                <w:lang w:val="en-US" w:eastAsia="zh-CN" w:bidi="ar"/>
              </w:rPr>
              <w:t>（二）、顶管施工时的安全技术措施</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仿宋_GB2312" w:hAnsi="仿宋_GB2312" w:eastAsia="仿宋_GB2312" w:cs="仿宋_GB2312"/>
                <w:color w:val="000000"/>
                <w:kern w:val="0"/>
                <w:sz w:val="24"/>
                <w:szCs w:val="24"/>
                <w:lang w:val="en-US" w:eastAsia="zh-CN" w:bidi="ar"/>
              </w:rPr>
            </w:pPr>
            <w:r>
              <w:rPr>
                <w:rFonts w:hint="eastAsia" w:ascii="仿宋_GB2312" w:hAnsi="仿宋_GB2312" w:eastAsia="仿宋_GB2312" w:cs="仿宋_GB2312"/>
                <w:color w:val="000000"/>
                <w:kern w:val="0"/>
                <w:sz w:val="24"/>
                <w:szCs w:val="24"/>
                <w:lang w:val="en-US" w:eastAsia="zh-CN" w:bidi="ar"/>
              </w:rPr>
              <w:t>1、机械顶管</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（1）设备吊运及渣土吊运</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顶管机从平板车上被吊起后，先试吊。在确定是安全的情况下，将顶管机缓慢吊入工作井，准确地停放在基座的轨道上。</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管节运输到现场后防止管节受到碰撞损坏，整齐堆放到指定地点。顶进过程中的管节拼装，起吊前要进行试吊，起吊操作要平稳。</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渣土吊运前，料盆内的渣土不宜超过其净体积的80%，且须堆放稳固、覆盖到位。吊运时，须指挥配合到位，下面人员须避让或转移，防止物体打击。</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（2）照明通风</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工作始发井上方设置镝灯一盏，井内设置照明设施。井内照明采用低压防水照明灯（24V，100W）3盏。电线用膨胀螺栓固定在井壁，防止渣土上吊时损坏电线。</w:t>
            </w:r>
          </w:p>
          <w:p>
            <w:pPr>
              <w:keepNext w:val="0"/>
              <w:keepLines w:val="0"/>
              <w:pageBreakBefore w:val="0"/>
              <w:tabs>
                <w:tab w:val="left" w:pos="360"/>
              </w:tabs>
              <w:kinsoku/>
              <w:wordWrap/>
              <w:overflowPunct/>
              <w:topLinePunct w:val="0"/>
              <w:autoSpaceDE/>
              <w:autoSpaceDN/>
              <w:bidi w:val="0"/>
              <w:adjustRightInd/>
              <w:snapToGrid/>
              <w:spacing w:line="400" w:lineRule="exact"/>
              <w:ind w:firstLine="480" w:firstLineChars="200"/>
              <w:textAlignment w:val="auto"/>
              <w:outlineLvl w:val="9"/>
              <w:rPr>
                <w:rFonts w:hint="eastAsia" w:ascii="仿宋_GB2312" w:hAnsi="仿宋_GB2312" w:eastAsia="仿宋_GB2312" w:cs="仿宋_GB2312"/>
                <w:color w:val="000000"/>
                <w:sz w:val="24"/>
                <w:szCs w:val="24"/>
              </w:rPr>
            </w:pPr>
            <w:r>
              <w:rPr>
                <w:rStyle w:val="6"/>
                <w:rFonts w:hint="eastAsia" w:ascii="仿宋_GB2312" w:hAnsi="仿宋_GB2312" w:eastAsia="仿宋_GB2312" w:cs="仿宋_GB2312"/>
                <w:b w:val="0"/>
                <w:bCs/>
                <w:sz w:val="24"/>
                <w:szCs w:val="24"/>
                <w:lang w:val="en-US" w:eastAsia="zh-CN"/>
              </w:rPr>
              <w:t>顶管施工过程中，必须施工现场配备通风机，保证管内的空气流通，防止施工过程中遇到进入管内的有毒有害气体。</w:t>
            </w:r>
            <w:r>
              <w:rPr>
                <w:rFonts w:hint="eastAsia" w:ascii="仿宋_GB2312" w:hAnsi="仿宋_GB2312" w:eastAsia="仿宋_GB2312" w:cs="仿宋_GB2312"/>
                <w:color w:val="000000"/>
                <w:sz w:val="24"/>
                <w:szCs w:val="24"/>
              </w:rPr>
              <w:t>在掘进过程中，应注意观察地下水压力、泥水仓水压力的变化，并及时采取相应的措施和对策，只有这样才能保持挖掘面的平衡稳定。</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（3）挖掘、顶进设备验收</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顶管机、油压泵、千斤顶、挖掘机等设备进场前，项目各部门按照要求对设备组织进场验收。设备安装到位后，须在投入使用前进行验收，合格后方可使用。</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Fonts w:hint="eastAsia" w:ascii="仿宋_GB2312" w:hAnsi="仿宋_GB2312" w:eastAsia="仿宋_GB2312" w:cs="仿宋_GB2312"/>
                <w:color w:val="000000"/>
                <w:kern w:val="0"/>
                <w:sz w:val="24"/>
                <w:szCs w:val="24"/>
                <w:lang w:val="en-US" w:eastAsia="zh-CN" w:bidi="ar"/>
              </w:rPr>
              <w:t>顶进施工设备人员，应持证上岗。在顶进过程中，对前方的土体不要开挖的过多，防止塌方，另外要注意地下土体，在土质发生变化时必须对管道内的气体进行检测，防止甲烷、沼气或其他有害气体的浓度对作业人员造成危害。</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（4）监控监测</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顶管开挖及顶进过程中，对地面沉降、拱顶沉降、洞内收敛、地下水压力、开挖面、水平位移、井壁渗水和位移等进行监控量测。发现异常时，立即上报，会同设计、监理、建设等单位进行研究。情况严重时，须先停止作业，将人员疏散到安全区域。</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2、人工顶管</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（1）设备吊运及渣土吊运</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同机械顶管施工。</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（2）照明通风</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照明：管内施工属于潮湿环境，管内照明必须采用安全低压照明，管内沿线间距10m，在管体右上角安装一盏12V12W的LED防潮灯泡，并在照明灯上设置防护网。</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通风：采用通风机通过管道向操作坑及管内工作面连续送风，以保证工人及其他经许可入内的工作人员吸入的空气中的含氧量不低于20%。每人所需的通风量不小于3m3/min。同时，每名掘进人员应随身携带气体检测仪，当日班前检测有毒有害气体。</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（3）挖掘、顶进设备验收及使用</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人工顶管，采用风镐加水钻的形式进行开挖，设备投入使用前须验收合格。</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顶管机、油压泵、千斤顶、等设备进场前，项目各部门按照要求对设备组织进场验收。设备安装到位后，须在投入使用前进行验收，合格后方可使用。</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水钻应由专人操作和保管，操作人员要进行专门的培训方可上岗。作业时，必须使水钻固定可靠，以防事故发生。</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（4）监控监测</w:t>
            </w:r>
          </w:p>
          <w:p>
            <w:pPr>
              <w:pStyle w:val="3"/>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Style w:val="6"/>
                <w:rFonts w:hint="eastAsia" w:ascii="仿宋_GB2312" w:hAnsi="仿宋_GB2312" w:eastAsia="仿宋_GB2312" w:cs="仿宋_GB2312"/>
                <w:b w:val="0"/>
                <w:bCs/>
                <w:sz w:val="24"/>
                <w:szCs w:val="24"/>
                <w:lang w:val="en-US" w:eastAsia="zh-CN"/>
              </w:rPr>
            </w:pPr>
            <w:r>
              <w:rPr>
                <w:rStyle w:val="6"/>
                <w:rFonts w:hint="eastAsia" w:ascii="仿宋_GB2312" w:hAnsi="仿宋_GB2312" w:eastAsia="仿宋_GB2312" w:cs="仿宋_GB2312"/>
                <w:b w:val="0"/>
                <w:bCs/>
                <w:sz w:val="24"/>
                <w:szCs w:val="24"/>
                <w:lang w:val="en-US" w:eastAsia="zh-CN"/>
              </w:rPr>
              <w:t>同机械顶管施工。</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_GB2312" w:hAnsi="仿宋_GB2312" w:eastAsia="仿宋_GB2312" w:cs="仿宋_GB2312"/>
                <w:b/>
                <w:bCs/>
                <w:color w:val="000000"/>
                <w:sz w:val="24"/>
                <w:szCs w:val="24"/>
                <w:lang w:val="en-US" w:eastAsia="zh-CN"/>
              </w:rPr>
            </w:pPr>
            <w:r>
              <w:rPr>
                <w:rFonts w:hint="eastAsia" w:ascii="仿宋_GB2312" w:hAnsi="仿宋_GB2312" w:eastAsia="仿宋_GB2312" w:cs="仿宋_GB2312"/>
                <w:b/>
                <w:bCs/>
                <w:color w:val="000000"/>
                <w:sz w:val="24"/>
                <w:szCs w:val="24"/>
                <w:lang w:val="en-US" w:eastAsia="zh-CN"/>
              </w:rPr>
              <w:t>二</w:t>
            </w:r>
            <w:r>
              <w:rPr>
                <w:rFonts w:hint="eastAsia" w:ascii="仿宋_GB2312" w:hAnsi="仿宋_GB2312" w:eastAsia="仿宋_GB2312" w:cs="仿宋_GB2312"/>
                <w:b/>
                <w:bCs/>
                <w:color w:val="000000"/>
                <w:sz w:val="24"/>
                <w:szCs w:val="24"/>
              </w:rPr>
              <w:t>、</w:t>
            </w:r>
            <w:r>
              <w:rPr>
                <w:rFonts w:hint="eastAsia" w:ascii="仿宋_GB2312" w:hAnsi="仿宋_GB2312" w:eastAsia="仿宋_GB2312" w:cs="仿宋_GB2312"/>
                <w:b/>
                <w:bCs/>
                <w:color w:val="000000"/>
                <w:sz w:val="24"/>
                <w:szCs w:val="24"/>
                <w:lang w:val="en-US" w:eastAsia="zh-CN"/>
              </w:rPr>
              <w:t>新冠疫情防控交底</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1.新型冠状病毒感染的肺炎防控措施</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1）勤洗手；（2）保持环境清洁和通风及良好的呼吸道卫生习惯；（3）增强体质和免疫力；（4）尽量减少到人群密集场所活动，避免接触呼吸道感染患者，如出现疑似新冠疫情症状，应立刻隔离休息、就医；（5）正确佩戴医用口罩。分清口罩正反面后，压紧鼻上金属条，覆盖住鼻子和嘴巴。</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2、何时就医（新冠疫情临床表现）</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如出现发热、乏力、干咳等新冠疫情表现症状，并不意味着被感染了。但出现（1）发热 (腋下体温≥37.3℃)、咳嗽、气促等急性呼吸道感染症状（2）有高中风险地区旅行或居住史，或发病前14天内接触过来自高中风险的发热伴呼吸道症状的患者，或出现小范围聚集性发病；应到指定医疗机构进行排查、诊治</w:t>
            </w:r>
            <w:r>
              <w:rPr>
                <w:rFonts w:hint="eastAsia" w:ascii="仿宋_GB2312" w:hAnsi="仿宋_GB2312" w:eastAsia="仿宋_GB2312" w:cs="仿宋_GB2312"/>
                <w:color w:val="000000"/>
                <w:sz w:val="24"/>
                <w:szCs w:val="24"/>
                <w:highlight w:val="none"/>
                <w:lang w:val="en-US" w:eastAsia="zh-CN"/>
              </w:rPr>
              <w:t>（重庆大学附属三峡医院）</w:t>
            </w:r>
            <w:bookmarkStart w:id="0" w:name="_GoBack"/>
            <w:bookmarkEnd w:id="0"/>
            <w:r>
              <w:rPr>
                <w:rFonts w:hint="eastAsia" w:ascii="仿宋_GB2312" w:hAnsi="仿宋_GB2312" w:eastAsia="仿宋_GB2312" w:cs="仿宋_GB2312"/>
                <w:color w:val="000000"/>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3、注意事项</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1）作业时应采取错峰作业，除佩戴必要的劳保用品外也要正确佩戴号口罩。每人作业间距应大于1米，作业时禁止面对面交头接耳。禁止饮酒后上岗，如发现有发热、咳嗽等，应停止作业，主动上报并隔离。避免大规模传染；（2）当出现发热 (腋下体温≥37.3℃)、咳嗽、气促等急性呼吸道感染症状，立即向安保队长黄民圣（15523455566）、分包管理人员、安全部汇报，并进行自我隔离；（3）错峰下班，口罩扔至指定地方，分餐进食。</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4、承诺事项：</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为了全力支持配合新型冠状病毒感染的肺炎疫性防控工作，切实保障本人及他人身体健康和生命安全，应做到以下承诺：</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本人14天内无疫性重点地区旅居史、与疫情重点地区人员接触史和乘坐过来自疫情重点地区交通工具返回重庆市的情况。</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本人目前身体健康，无拉肚子、呼吸困难、咳嗽、四肢乏力、发烧（≥37.3℃）等情况。</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加强个人防护。学好、用好防控知识手册，自觉佩戴口罩，主动接受体温检测。</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规范个人行为，下班后主动防控，不组织、参加聚会，不参与人员聚集，尽可能减少出门。</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谨言慎行，不造谣、不传谣、不信谣，维护施工现场稳定。</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每天进行自我健康检查，如有不适症状，立即向施工责任单位反映，并及时就医。</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必须严格按照项目部的进场流程办理完手续后才能进入施工现场。若现场封闭管理，则严格服从上下班两点一线管理，严禁私自外出，需要外出必须打申请，在使用消毒液过程中，酒精与84消毒液严禁混放。</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若本人因提供不实信息，不按照承诺落实防控措施造成疫情蔓延等不良后果，危害公共安全的，自愿承担相应法律责任。</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lang w:val="en-US" w:eastAsia="zh-CN"/>
              </w:rPr>
            </w:pPr>
            <w:r>
              <w:rPr>
                <w:rFonts w:hint="eastAsia" w:ascii="仿宋_GB2312" w:hAnsi="仿宋_GB2312" w:eastAsia="仿宋_GB2312" w:cs="仿宋_GB2312"/>
                <w:b/>
                <w:bCs/>
                <w:color w:val="000000"/>
                <w:sz w:val="24"/>
                <w:szCs w:val="24"/>
                <w:lang w:val="en-US" w:eastAsia="zh-CN"/>
              </w:rPr>
              <w:t>防高坠交底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1．熟悉施工中对高处作业的安全技术设施，发现有缺陷和隐患时，必须及时解决；危及人身安全时，必须停止作业。</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2．作业时要穿整洁合体并适合作业特点的工作服，不得裸身作业，要穿适合作业特点的工作鞋，不得穿凉鞋、拖鞋。</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3．临边作业、高处作业、悬空作业时，必须先挂系挂好安全带、后作业。安全带高挂低用。待人员站在安全可靠的着点后，方可解除安全带。安全带应完好、无破损。</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4．必须随时携带和使用安全帽和安全带，同时防止机具、材料的坠落。搭拆脚手架必须使用双大钩安全带，作业层须铺好脚手板且固定牢靠、安全带有可靠挂点，人员上下有安全爬梯。悬空作业（吊篮作业、登高车作业等）、脚手架搭拆人员必须持证上岗。</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5．施工作业现场有可能坠落的物件，应一律先行清理或加以固定。</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6．严禁酒后高空作业，对高空作业人员定期体检。</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7．不得随意拆除脚手架等临时作业设施，因施工需要不得已必须拆除脚手架或搭板时，必须按照项目防护拆除要求填写申请，并及时恢复防护。</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8．高空作业人员在作业时,不可将工具抛来抛去,应将小件工具系带在身上,随用随取。</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9．严禁高处作业操作平台、登高设施、脚手架等未经验收投入使用。</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10．严禁六级以上大风及雷电、暴雨、大雾等恶劣气候进行露天高处作业。</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lang w:val="en-US" w:eastAsia="zh-CN"/>
              </w:rPr>
              <w:t>四</w:t>
            </w:r>
            <w:r>
              <w:rPr>
                <w:rFonts w:hint="eastAsia" w:ascii="仿宋_GB2312" w:hAnsi="仿宋_GB2312" w:eastAsia="仿宋_GB2312" w:cs="仿宋_GB2312"/>
                <w:b/>
                <w:bCs/>
                <w:color w:val="000000"/>
                <w:sz w:val="24"/>
                <w:szCs w:val="24"/>
              </w:rPr>
              <w:t>、职业健康：</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1、现场作业应根据作业环境配备相应的职业健康防护用品。</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2、现场作业噪声较大的区域应佩戴好耳塞。</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3、处于职业健康有害因素场所作业的员工入职前应做好职业健康岗前体检，离职后前要做好职业健康离职前体检。</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lang w:val="en-US" w:eastAsia="zh-CN"/>
              </w:rPr>
              <w:t>五</w:t>
            </w:r>
            <w:r>
              <w:rPr>
                <w:rFonts w:hint="eastAsia" w:ascii="仿宋_GB2312" w:hAnsi="仿宋_GB2312" w:eastAsia="仿宋_GB2312" w:cs="仿宋_GB2312"/>
                <w:b/>
                <w:bCs/>
                <w:color w:val="000000"/>
                <w:sz w:val="24"/>
                <w:szCs w:val="24"/>
              </w:rPr>
              <w:t>、环境方面：</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1、施工过程中严禁随意凌空抛散，施工垃圾及时清运，适量洒水，减少扬尘。</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2、施工作业时必须有效控制噪声排放，做到轻拿轻放，静止抛扔材料产生噪声。</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3、对现场的材料垃圾分类堆放，能二次利用的需加以利用，减少对环境的污染。</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lang w:val="en-US" w:eastAsia="zh-CN"/>
              </w:rPr>
              <w:t>六</w:t>
            </w:r>
            <w:r>
              <w:rPr>
                <w:rFonts w:hint="eastAsia" w:ascii="仿宋_GB2312" w:hAnsi="仿宋_GB2312" w:eastAsia="仿宋_GB2312" w:cs="仿宋_GB2312"/>
                <w:b/>
                <w:bCs/>
                <w:color w:val="000000"/>
                <w:sz w:val="24"/>
                <w:szCs w:val="24"/>
              </w:rPr>
              <w:t>、消防方面：</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1、动火作业必须办理动火证，旁边配备灭火器并有看火人。</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2、楼层内需配备足量的灭火器，消防用水需上施工层。</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3、施工现场禁止流动吸烟，吸烟需到附近的吸烟亭内。</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highlight w:val="none"/>
              </w:rPr>
            </w:pPr>
            <w:r>
              <w:rPr>
                <w:rFonts w:hint="eastAsia" w:ascii="仿宋_GB2312" w:hAnsi="仿宋_GB2312" w:eastAsia="仿宋_GB2312" w:cs="仿宋_GB2312"/>
                <w:b/>
                <w:bCs/>
                <w:color w:val="000000"/>
                <w:sz w:val="24"/>
                <w:szCs w:val="24"/>
                <w:highlight w:val="none"/>
                <w:lang w:val="en-US" w:eastAsia="zh-CN"/>
              </w:rPr>
              <w:t>七</w:t>
            </w:r>
            <w:r>
              <w:rPr>
                <w:rFonts w:hint="eastAsia" w:ascii="仿宋_GB2312" w:hAnsi="仿宋_GB2312" w:eastAsia="仿宋_GB2312" w:cs="仿宋_GB2312"/>
                <w:b/>
                <w:bCs/>
                <w:color w:val="000000"/>
                <w:sz w:val="24"/>
                <w:szCs w:val="24"/>
                <w:highlight w:val="none"/>
              </w:rPr>
              <w:t>、应急救援交底</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1、若遇紧急情况，立即与项目管理人员联系，及时报告。</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2、若高温天气作业时感到身体不适，应立即到阴凉处休息，不得蛮干。</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default"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rPr>
              <w:t>3、重庆</w:t>
            </w:r>
            <w:r>
              <w:rPr>
                <w:rFonts w:hint="eastAsia" w:ascii="仿宋_GB2312" w:hAnsi="仿宋_GB2312" w:eastAsia="仿宋_GB2312" w:cs="仿宋_GB2312"/>
                <w:color w:val="000000"/>
                <w:sz w:val="24"/>
                <w:szCs w:val="24"/>
                <w:highlight w:val="none"/>
                <w:lang w:val="en-US" w:eastAsia="zh-CN"/>
              </w:rPr>
              <w:t>大学附属三峡医院</w:t>
            </w:r>
            <w:r>
              <w:rPr>
                <w:rFonts w:hint="eastAsia" w:ascii="仿宋_GB2312" w:hAnsi="仿宋_GB2312" w:eastAsia="仿宋_GB2312" w:cs="仿宋_GB2312"/>
                <w:color w:val="000000"/>
                <w:sz w:val="24"/>
                <w:szCs w:val="24"/>
                <w:highlight w:val="none"/>
              </w:rPr>
              <w:t>：电话：023-</w:t>
            </w:r>
            <w:r>
              <w:rPr>
                <w:rFonts w:hint="eastAsia" w:ascii="仿宋_GB2312" w:hAnsi="仿宋_GB2312" w:eastAsia="仿宋_GB2312" w:cs="仿宋_GB2312"/>
                <w:color w:val="000000"/>
                <w:sz w:val="24"/>
                <w:szCs w:val="24"/>
                <w:highlight w:val="none"/>
                <w:lang w:val="en-US" w:eastAsia="zh-CN"/>
              </w:rPr>
              <w:t>58120120</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default"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rPr>
              <w:t>地址： </w:t>
            </w:r>
            <w:r>
              <w:rPr>
                <w:rFonts w:hint="eastAsia" w:ascii="仿宋_GB2312" w:hAnsi="仿宋_GB2312" w:eastAsia="仿宋_GB2312" w:cs="仿宋_GB2312"/>
                <w:color w:val="000000"/>
                <w:sz w:val="24"/>
                <w:szCs w:val="24"/>
                <w:highlight w:val="none"/>
              </w:rPr>
              <w:fldChar w:fldCharType="begin"/>
            </w:r>
            <w:r>
              <w:rPr>
                <w:rFonts w:hint="eastAsia" w:ascii="仿宋_GB2312" w:hAnsi="仿宋_GB2312" w:eastAsia="仿宋_GB2312" w:cs="仿宋_GB2312"/>
                <w:color w:val="000000"/>
                <w:sz w:val="24"/>
                <w:szCs w:val="24"/>
                <w:highlight w:val="none"/>
              </w:rPr>
              <w:instrText xml:space="preserve"> HYPERLINK "http://map.mapbar.com/c_chongqing_map/" \o "重庆地图" \t "http://poi.mapbar.com/chongqing/_blank" </w:instrText>
            </w:r>
            <w:r>
              <w:rPr>
                <w:rFonts w:hint="eastAsia" w:ascii="仿宋_GB2312" w:hAnsi="仿宋_GB2312" w:eastAsia="仿宋_GB2312" w:cs="仿宋_GB2312"/>
                <w:color w:val="000000"/>
                <w:sz w:val="24"/>
                <w:szCs w:val="24"/>
                <w:highlight w:val="none"/>
              </w:rPr>
              <w:fldChar w:fldCharType="separate"/>
            </w:r>
            <w:r>
              <w:rPr>
                <w:rFonts w:hint="eastAsia" w:ascii="仿宋_GB2312" w:hAnsi="仿宋_GB2312" w:eastAsia="仿宋_GB2312" w:cs="仿宋_GB2312"/>
                <w:color w:val="000000"/>
                <w:sz w:val="24"/>
                <w:szCs w:val="24"/>
                <w:highlight w:val="none"/>
              </w:rPr>
              <w:t>重庆</w:t>
            </w:r>
            <w:r>
              <w:rPr>
                <w:rFonts w:hint="eastAsia" w:ascii="仿宋_GB2312" w:hAnsi="仿宋_GB2312" w:eastAsia="仿宋_GB2312" w:cs="仿宋_GB2312"/>
                <w:color w:val="000000"/>
                <w:sz w:val="24"/>
                <w:szCs w:val="24"/>
                <w:highlight w:val="none"/>
              </w:rPr>
              <w:fldChar w:fldCharType="end"/>
            </w:r>
            <w:r>
              <w:rPr>
                <w:rFonts w:hint="eastAsia" w:ascii="仿宋_GB2312" w:hAnsi="仿宋_GB2312" w:eastAsia="仿宋_GB2312" w:cs="仿宋_GB2312"/>
                <w:color w:val="000000"/>
                <w:sz w:val="24"/>
                <w:szCs w:val="24"/>
                <w:highlight w:val="none"/>
                <w:lang w:val="en-US" w:eastAsia="zh-CN"/>
              </w:rPr>
              <w:t>万州区新城路165号</w:t>
            </w:r>
          </w:p>
          <w:p>
            <w:pPr>
              <w:pStyle w:val="2"/>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000000"/>
                <w:sz w:val="24"/>
                <w:szCs w:val="24"/>
                <w:highlight w:val="none"/>
              </w:rPr>
              <w:t>应急救援送医路线：</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200" w:firstLine="482" w:firstLineChars="200"/>
              <w:textAlignment w:val="auto"/>
              <w:rPr>
                <w:rStyle w:val="6"/>
                <w:rFonts w:hint="default" w:ascii="仿宋_GB2312" w:hAnsi="仿宋_GB2312" w:eastAsia="仿宋_GB2312" w:cs="仿宋_GB2312"/>
                <w:b w:val="0"/>
                <w:bCs/>
                <w:sz w:val="24"/>
                <w:szCs w:val="22"/>
                <w:lang w:val="en-US" w:eastAsia="zh-CN"/>
              </w:rPr>
            </w:pPr>
            <w:r>
              <w:rPr>
                <w:rFonts w:ascii="Times New Roman" w:hAnsi="Times New Roman"/>
                <w:b/>
                <w:sz w:val="24"/>
                <w:szCs w:val="24"/>
                <w:highlight w:val="none"/>
              </w:rPr>
              <w:drawing>
                <wp:inline distT="0" distB="0" distL="114300" distR="114300">
                  <wp:extent cx="3519170" cy="1841500"/>
                  <wp:effectExtent l="0" t="0" r="5080" b="6350"/>
                  <wp:docPr id="1" name="图片 1" descr="QQ截图2021061609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10616095212"/>
                          <pic:cNvPicPr>
                            <a:picLocks noChangeAspect="1"/>
                          </pic:cNvPicPr>
                        </pic:nvPicPr>
                        <pic:blipFill>
                          <a:blip r:embed="rId4"/>
                          <a:stretch>
                            <a:fillRect/>
                          </a:stretch>
                        </pic:blipFill>
                        <pic:spPr>
                          <a:xfrm>
                            <a:off x="0" y="0"/>
                            <a:ext cx="3519170" cy="1841500"/>
                          </a:xfrm>
                          <a:prstGeom prst="rect">
                            <a:avLst/>
                          </a:prstGeom>
                          <a:noFill/>
                          <a:ln>
                            <a:noFill/>
                          </a:ln>
                        </pic:spPr>
                      </pic:pic>
                    </a:graphicData>
                  </a:graphic>
                </wp:inline>
              </w:drawing>
            </w:r>
          </w:p>
        </w:tc>
      </w:tr>
      <w:tr>
        <w:tblPrEx>
          <w:tblCellMar>
            <w:top w:w="0" w:type="dxa"/>
            <w:left w:w="0" w:type="dxa"/>
            <w:bottom w:w="0" w:type="dxa"/>
            <w:right w:w="0" w:type="dxa"/>
          </w:tblCellMar>
        </w:tblPrEx>
        <w:trPr>
          <w:trHeight w:val="838" w:hRule="atLeast"/>
          <w:jc w:val="center"/>
        </w:trPr>
        <w:tc>
          <w:tcPr>
            <w:tcW w:w="10061" w:type="dxa"/>
            <w:gridSpan w:val="13"/>
            <w:tcBorders>
              <w:top w:val="single" w:color="auto" w:sz="4" w:space="0"/>
              <w:left w:val="single" w:color="000000" w:sz="4" w:space="0"/>
              <w:bottom w:val="single" w:color="auto" w:sz="4" w:space="0"/>
              <w:right w:val="single" w:color="000000" w:sz="4" w:space="0"/>
            </w:tcBorders>
          </w:tcPr>
          <w:p>
            <w:pPr>
              <w:autoSpaceDE w:val="0"/>
              <w:autoSpaceDN w:val="0"/>
              <w:adjustRightInd w:val="0"/>
              <w:ind w:left="103" w:right="-20"/>
              <w:rPr>
                <w:rFonts w:hint="eastAsia"/>
              </w:rPr>
            </w:pPr>
            <w:r>
              <w:rPr>
                <w:rFonts w:hint="eastAsia"/>
              </w:rPr>
              <w:t>针对性交底：</w:t>
            </w:r>
          </w:p>
          <w:p>
            <w:pPr>
              <w:pStyle w:val="2"/>
              <w:rPr>
                <w:rFonts w:hint="eastAsia" w:ascii="仿宋_GB2312" w:eastAsia="仿宋_GB2312" w:cs="MingLiU"/>
                <w:color w:val="000000"/>
                <w:spacing w:val="1"/>
                <w:kern w:val="0"/>
                <w:sz w:val="24"/>
              </w:rPr>
            </w:pPr>
          </w:p>
          <w:p>
            <w:pPr>
              <w:pStyle w:val="2"/>
              <w:rPr>
                <w:rFonts w:hint="eastAsia" w:ascii="仿宋_GB2312" w:eastAsia="仿宋_GB2312" w:cs="MingLiU"/>
                <w:color w:val="000000"/>
                <w:spacing w:val="1"/>
                <w:kern w:val="0"/>
                <w:sz w:val="24"/>
              </w:rPr>
            </w:pPr>
          </w:p>
          <w:p>
            <w:pPr>
              <w:pStyle w:val="2"/>
              <w:rPr>
                <w:rFonts w:hint="eastAsia" w:ascii="仿宋_GB2312" w:eastAsia="仿宋_GB2312" w:cs="MingLiU"/>
                <w:color w:val="000000"/>
                <w:spacing w:val="1"/>
                <w:kern w:val="0"/>
                <w:sz w:val="24"/>
              </w:rPr>
            </w:pPr>
          </w:p>
        </w:tc>
      </w:tr>
      <w:tr>
        <w:tblPrEx>
          <w:tblCellMar>
            <w:top w:w="0" w:type="dxa"/>
            <w:left w:w="0" w:type="dxa"/>
            <w:bottom w:w="0" w:type="dxa"/>
            <w:right w:w="0" w:type="dxa"/>
          </w:tblCellMar>
        </w:tblPrEx>
        <w:trPr>
          <w:trHeight w:val="602" w:hRule="exact"/>
          <w:jc w:val="center"/>
        </w:trPr>
        <w:tc>
          <w:tcPr>
            <w:tcW w:w="2139" w:type="dxa"/>
            <w:gridSpan w:val="3"/>
            <w:tcBorders>
              <w:top w:val="single" w:color="auto" w:sz="4" w:space="0"/>
              <w:left w:val="single" w:color="000000" w:sz="4" w:space="0"/>
              <w:bottom w:val="single" w:color="000000" w:sz="4" w:space="0"/>
              <w:right w:val="single" w:color="auto" w:sz="4" w:space="0"/>
            </w:tcBorders>
          </w:tcPr>
          <w:p>
            <w:pPr>
              <w:autoSpaceDE w:val="0"/>
              <w:autoSpaceDN w:val="0"/>
              <w:adjustRightInd w:val="0"/>
              <w:spacing w:line="480" w:lineRule="exact"/>
              <w:ind w:left="103" w:right="-20"/>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交底人签名</w:t>
            </w:r>
          </w:p>
        </w:tc>
        <w:tc>
          <w:tcPr>
            <w:tcW w:w="1377" w:type="dxa"/>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p>
        </w:tc>
        <w:tc>
          <w:tcPr>
            <w:tcW w:w="1646" w:type="dxa"/>
            <w:gridSpan w:val="2"/>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安全员签名</w:t>
            </w:r>
          </w:p>
        </w:tc>
        <w:tc>
          <w:tcPr>
            <w:tcW w:w="1166" w:type="dxa"/>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p>
        </w:tc>
        <w:tc>
          <w:tcPr>
            <w:tcW w:w="1574" w:type="dxa"/>
            <w:gridSpan w:val="3"/>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交底时间</w:t>
            </w:r>
          </w:p>
        </w:tc>
        <w:tc>
          <w:tcPr>
            <w:tcW w:w="2159" w:type="dxa"/>
            <w:gridSpan w:val="3"/>
            <w:tcBorders>
              <w:top w:val="single" w:color="auto" w:sz="4" w:space="0"/>
              <w:left w:val="single" w:color="auto" w:sz="4" w:space="0"/>
              <w:bottom w:val="single" w:color="000000" w:sz="4" w:space="0"/>
              <w:right w:val="single" w:color="000000" w:sz="4" w:space="0"/>
            </w:tcBorders>
            <w:vAlign w:val="center"/>
          </w:tcPr>
          <w:p>
            <w:pPr>
              <w:autoSpaceDE w:val="0"/>
              <w:autoSpaceDN w:val="0"/>
              <w:adjustRightInd w:val="0"/>
              <w:spacing w:line="480" w:lineRule="exact"/>
              <w:ind w:right="-20"/>
              <w:jc w:val="center"/>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1680" w:hRule="exact"/>
          <w:jc w:val="center"/>
        </w:trPr>
        <w:tc>
          <w:tcPr>
            <w:tcW w:w="1285" w:type="dxa"/>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80" w:lineRule="exact"/>
              <w:ind w:right="-20"/>
              <w:jc w:val="center"/>
              <w:rPr>
                <w:rFonts w:ascii="仿宋_GB2312" w:eastAsia="仿宋_GB2312"/>
                <w:color w:val="000000"/>
                <w:kern w:val="0"/>
                <w:sz w:val="24"/>
              </w:rPr>
            </w:pPr>
            <w:r>
              <w:rPr>
                <w:rFonts w:hint="eastAsia" w:ascii="仿宋_GB2312" w:eastAsia="仿宋_GB2312" w:cs="MingLiU"/>
                <w:color w:val="000000"/>
                <w:spacing w:val="1"/>
                <w:kern w:val="0"/>
                <w:sz w:val="24"/>
              </w:rPr>
              <w:t>被交底人签名</w:t>
            </w:r>
          </w:p>
        </w:tc>
        <w:tc>
          <w:tcPr>
            <w:tcW w:w="8776" w:type="dxa"/>
            <w:gridSpan w:val="12"/>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tc>
      </w:tr>
    </w:tbl>
    <w:p>
      <w:pPr>
        <w:autoSpaceDE w:val="0"/>
        <w:autoSpaceDN w:val="0"/>
        <w:adjustRightInd w:val="0"/>
        <w:spacing w:line="320" w:lineRule="exact"/>
        <w:ind w:right="-20"/>
        <w:jc w:val="left"/>
        <w:rPr>
          <w:rFonts w:ascii="仿宋_GB2312" w:eastAsia="仿宋_GB2312" w:cs="MingLiU"/>
          <w:color w:val="000000"/>
          <w:kern w:val="0"/>
          <w:sz w:val="24"/>
        </w:rPr>
      </w:pPr>
      <w:r>
        <w:rPr>
          <w:rFonts w:hint="eastAsia" w:ascii="仿宋_GB2312" w:eastAsia="仿宋_GB2312" w:cs="MingLiU"/>
          <w:color w:val="000000"/>
          <w:spacing w:val="1"/>
          <w:w w:val="99"/>
          <w:kern w:val="0"/>
          <w:sz w:val="24"/>
        </w:rPr>
        <w:t>本表一式三份，交底人、被交底人各一份，另一份存档</w:t>
      </w:r>
    </w:p>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Arial Unicode MS"/>
    <w:panose1 w:val="03000509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华文中宋">
    <w:panose1 w:val="02010600040101010101"/>
    <w:charset w:val="86"/>
    <w:family w:val="auto"/>
    <w:pitch w:val="default"/>
    <w:sig w:usb0="00000287" w:usb1="080F0000" w:usb2="00000000" w:usb3="00000000" w:csb0="0004009F" w:csb1="DFD70000"/>
  </w:font>
  <w:font w:name="MingLiU">
    <w:panose1 w:val="02020509000000000000"/>
    <w:charset w:val="88"/>
    <w:family w:val="modern"/>
    <w:pitch w:val="default"/>
    <w:sig w:usb0="A00002FF" w:usb1="28CFFCFA" w:usb2="00000016" w:usb3="00000000" w:csb0="0010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56E27"/>
    <w:multiLevelType w:val="singleLevel"/>
    <w:tmpl w:val="B7556E27"/>
    <w:lvl w:ilvl="0" w:tentative="0">
      <w:start w:val="3"/>
      <w:numFmt w:val="chineseCounting"/>
      <w:suff w:val="nothing"/>
      <w:lvlText w:val="%1、"/>
      <w:lvlJc w:val="left"/>
      <w:rPr>
        <w:rFonts w:hint="eastAsia"/>
      </w:rPr>
    </w:lvl>
  </w:abstractNum>
  <w:abstractNum w:abstractNumId="1">
    <w:nsid w:val="4DC502FA"/>
    <w:multiLevelType w:val="singleLevel"/>
    <w:tmpl w:val="4DC502FA"/>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86E"/>
    <w:rsid w:val="004345F2"/>
    <w:rsid w:val="00541AE3"/>
    <w:rsid w:val="006D493A"/>
    <w:rsid w:val="00DD186E"/>
    <w:rsid w:val="00F33A3F"/>
    <w:rsid w:val="0A084BE7"/>
    <w:rsid w:val="13F01A01"/>
    <w:rsid w:val="1E456027"/>
    <w:rsid w:val="25C71D32"/>
    <w:rsid w:val="478A2D99"/>
    <w:rsid w:val="4AE667ED"/>
    <w:rsid w:val="55042B6C"/>
    <w:rsid w:val="5DAA3C11"/>
    <w:rsid w:val="76564342"/>
    <w:rsid w:val="771B5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customStyle="1" w:styleId="2">
    <w:name w:val="投标正文"/>
    <w:basedOn w:val="1"/>
    <w:link w:val="6"/>
    <w:qFormat/>
    <w:uiPriority w:val="0"/>
    <w:pPr>
      <w:adjustRightInd w:val="0"/>
      <w:snapToGrid w:val="0"/>
    </w:pPr>
    <w:rPr>
      <w:rFonts w:ascii="Times New Roman" w:hAnsi="Times New Roman" w:eastAsia="宋体"/>
      <w:b/>
      <w:sz w:val="28"/>
    </w:rPr>
  </w:style>
  <w:style w:type="paragraph" w:styleId="3">
    <w:name w:val="Body Text First Indent"/>
    <w:basedOn w:val="1"/>
    <w:qFormat/>
    <w:uiPriority w:val="0"/>
    <w:pPr>
      <w:spacing w:line="360" w:lineRule="auto"/>
      <w:ind w:firstLine="560" w:firstLineChars="200"/>
    </w:pPr>
    <w:rPr>
      <w:rFonts w:eastAsia="楷体_GB2312"/>
      <w:bCs/>
      <w:color w:val="000000"/>
      <w:sz w:val="28"/>
      <w:szCs w:val="28"/>
    </w:rPr>
  </w:style>
  <w:style w:type="character" w:customStyle="1" w:styleId="6">
    <w:name w:val="投标正文 Char"/>
    <w:link w:val="2"/>
    <w:qFormat/>
    <w:uiPriority w:val="0"/>
    <w:rPr>
      <w:rFonts w:ascii="Times New Roman" w:hAnsi="Times New Roman" w:eastAsia="宋体"/>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Pages>
  <Words>105</Words>
  <Characters>600</Characters>
  <Lines>5</Lines>
  <Paragraphs>1</Paragraphs>
  <TotalTime>0</TotalTime>
  <ScaleCrop>false</ScaleCrop>
  <LinksUpToDate>false</LinksUpToDate>
  <CharactersWithSpaces>704</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2020-06-16T23:31:00Z</dcterms:created>
  <dc:creator>微软用户</dc:creator>
  <cp:lastModifiedBy>boom</cp:lastModifiedBy>
  <dcterms:modified xsi:type="dcterms:W3CDTF">2021-09-22T09:06:58Z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9F884FE1DCE04A3F807C2F1D35BE3F0D</vt:lpwstr>
  </property>
</Properties>
</file>