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40"/>
        </w:tabs>
        <w:autoSpaceDE w:val="0"/>
        <w:autoSpaceDN w:val="0"/>
        <w:adjustRightInd w:val="0"/>
        <w:spacing w:line="560" w:lineRule="exact"/>
        <w:jc w:val="center"/>
        <w:outlineLvl w:val="2"/>
        <w:rPr>
          <w:rFonts w:ascii="方正小标宋简体" w:hAnsi="华文中宋" w:eastAsia="方正小标宋简体" w:cs="MingLiU"/>
          <w:color w:val="000000"/>
          <w:kern w:val="0"/>
          <w:sz w:val="36"/>
          <w:szCs w:val="36"/>
        </w:rPr>
      </w:pPr>
      <w:r>
        <w:rPr>
          <w:rFonts w:hint="eastAsia" w:ascii="方正小标宋简体" w:hAnsi="华文中宋" w:eastAsia="方正小标宋简体" w:cs="MingLiU"/>
          <w:color w:val="000000"/>
          <w:kern w:val="0"/>
          <w:sz w:val="36"/>
          <w:szCs w:val="36"/>
        </w:rPr>
        <w:t>楼梯扶手安装安全技术交底</w:t>
      </w:r>
    </w:p>
    <w:p>
      <w:pPr>
        <w:autoSpaceDE w:val="0"/>
        <w:autoSpaceDN w:val="0"/>
        <w:adjustRightInd w:val="0"/>
        <w:spacing w:after="156" w:afterLines="50" w:line="260" w:lineRule="exact"/>
        <w:jc w:val="right"/>
        <w:outlineLvl w:val="2"/>
        <w:rPr>
          <w:rFonts w:hint="default" w:ascii="仿宋_GB2312" w:eastAsia="仿宋" w:cs="MingLiU"/>
          <w:color w:val="000000"/>
          <w:kern w:val="0"/>
          <w:sz w:val="24"/>
          <w:lang w:val="en-US" w:eastAsia="zh-CN"/>
        </w:rPr>
      </w:pPr>
      <w:r>
        <w:rPr>
          <w:rFonts w:hint="eastAsia" w:ascii="仿宋" w:hAnsi="仿宋" w:eastAsia="仿宋" w:cs="MingLiU"/>
          <w:color w:val="000000"/>
          <w:kern w:val="0"/>
          <w:sz w:val="24"/>
        </w:rPr>
        <w:t>A-6-</w:t>
      </w:r>
      <w:r>
        <w:rPr>
          <w:rFonts w:hint="eastAsia" w:ascii="仿宋" w:hAnsi="仿宋" w:eastAsia="仿宋" w:cs="MingLiU"/>
          <w:color w:val="000000"/>
          <w:kern w:val="0"/>
          <w:sz w:val="24"/>
          <w:lang w:val="en-US" w:eastAsia="zh-CN"/>
        </w:rPr>
        <w:t>41</w:t>
      </w:r>
    </w:p>
    <w:tbl>
      <w:tblPr>
        <w:tblStyle w:val="5"/>
        <w:tblW w:w="9539" w:type="dxa"/>
        <w:jc w:val="center"/>
        <w:tblLayout w:type="fixed"/>
        <w:tblCellMar>
          <w:top w:w="0" w:type="dxa"/>
          <w:left w:w="0" w:type="dxa"/>
          <w:bottom w:w="0" w:type="dxa"/>
          <w:right w:w="0" w:type="dxa"/>
        </w:tblCellMar>
      </w:tblPr>
      <w:tblGrid>
        <w:gridCol w:w="1055"/>
        <w:gridCol w:w="418"/>
        <w:gridCol w:w="436"/>
        <w:gridCol w:w="1377"/>
        <w:gridCol w:w="191"/>
        <w:gridCol w:w="1455"/>
        <w:gridCol w:w="1442"/>
        <w:gridCol w:w="578"/>
        <w:gridCol w:w="96"/>
        <w:gridCol w:w="624"/>
        <w:gridCol w:w="218"/>
        <w:gridCol w:w="98"/>
        <w:gridCol w:w="1551"/>
      </w:tblGrid>
      <w:tr>
        <w:tblPrEx>
          <w:tblCellMar>
            <w:top w:w="0" w:type="dxa"/>
            <w:left w:w="0" w:type="dxa"/>
            <w:bottom w:w="0" w:type="dxa"/>
            <w:right w:w="0" w:type="dxa"/>
          </w:tblCellMar>
        </w:tblPrEx>
        <w:trPr>
          <w:trHeight w:val="442" w:hRule="exact"/>
          <w:jc w:val="center"/>
        </w:trPr>
        <w:tc>
          <w:tcPr>
            <w:tcW w:w="6952" w:type="dxa"/>
            <w:gridSpan w:val="8"/>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楼梯扶手安装安全技术交底表</w:t>
            </w:r>
          </w:p>
        </w:tc>
        <w:tc>
          <w:tcPr>
            <w:tcW w:w="938"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编号</w:t>
            </w:r>
          </w:p>
        </w:tc>
        <w:tc>
          <w:tcPr>
            <w:tcW w:w="1649" w:type="dxa"/>
            <w:gridSpan w:val="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54" w:hRule="exact"/>
          <w:jc w:val="center"/>
        </w:trPr>
        <w:tc>
          <w:tcPr>
            <w:tcW w:w="147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olor w:val="000000"/>
                <w:kern w:val="0"/>
                <w:sz w:val="24"/>
              </w:rPr>
            </w:pPr>
            <w:r>
              <w:rPr>
                <w:rFonts w:hint="eastAsia" w:ascii="仿宋_GB2312" w:eastAsia="仿宋_GB2312" w:cs="MingLiU"/>
                <w:color w:val="000000"/>
                <w:spacing w:val="1"/>
                <w:kern w:val="0"/>
                <w:sz w:val="24"/>
              </w:rPr>
              <w:t>工程名称</w:t>
            </w:r>
          </w:p>
          <w:p>
            <w:pPr>
              <w:autoSpaceDE w:val="0"/>
              <w:autoSpaceDN w:val="0"/>
              <w:adjustRightInd w:val="0"/>
              <w:spacing w:line="400" w:lineRule="exact"/>
              <w:jc w:val="center"/>
              <w:rPr>
                <w:rFonts w:ascii="仿宋_GB2312" w:eastAsia="仿宋_GB2312" w:cs="MingLiU"/>
                <w:color w:val="000000"/>
                <w:spacing w:val="1"/>
                <w:kern w:val="0"/>
                <w:sz w:val="24"/>
              </w:rPr>
            </w:pPr>
          </w:p>
        </w:tc>
        <w:tc>
          <w:tcPr>
            <w:tcW w:w="8066" w:type="dxa"/>
            <w:gridSpan w:val="11"/>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78" w:hRule="exact"/>
          <w:jc w:val="center"/>
        </w:trPr>
        <w:tc>
          <w:tcPr>
            <w:tcW w:w="147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施工单位</w:t>
            </w:r>
          </w:p>
        </w:tc>
        <w:tc>
          <w:tcPr>
            <w:tcW w:w="2004"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1455" w:type="dxa"/>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交底部位</w:t>
            </w:r>
          </w:p>
        </w:tc>
        <w:tc>
          <w:tcPr>
            <w:tcW w:w="2116"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940"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工种</w:t>
            </w:r>
          </w:p>
        </w:tc>
        <w:tc>
          <w:tcPr>
            <w:tcW w:w="1551" w:type="dxa"/>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54" w:hRule="atLeast"/>
          <w:jc w:val="center"/>
        </w:trPr>
        <w:tc>
          <w:tcPr>
            <w:tcW w:w="9539" w:type="dxa"/>
            <w:gridSpan w:val="13"/>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安全技术交底的内容</w:t>
            </w:r>
          </w:p>
        </w:tc>
      </w:tr>
      <w:tr>
        <w:tblPrEx>
          <w:tblCellMar>
            <w:top w:w="0" w:type="dxa"/>
            <w:left w:w="0" w:type="dxa"/>
            <w:bottom w:w="0" w:type="dxa"/>
            <w:right w:w="0" w:type="dxa"/>
          </w:tblCellMar>
        </w:tblPrEx>
        <w:trPr>
          <w:trHeight w:val="5482" w:hRule="atLeast"/>
          <w:jc w:val="center"/>
        </w:trPr>
        <w:tc>
          <w:tcPr>
            <w:tcW w:w="9539" w:type="dxa"/>
            <w:gridSpan w:val="13"/>
            <w:tcBorders>
              <w:top w:val="single" w:color="000000" w:sz="4" w:space="0"/>
              <w:left w:val="single" w:color="000000" w:sz="4" w:space="0"/>
              <w:bottom w:val="single" w:color="auto" w:sz="4" w:space="0"/>
              <w:right w:val="single" w:color="000000" w:sz="4" w:space="0"/>
            </w:tcBorders>
          </w:tcPr>
          <w:p>
            <w:pPr>
              <w:keepNext w:val="0"/>
              <w:keepLines w:val="0"/>
              <w:pageBreakBefore w:val="0"/>
              <w:widowControl w:val="0"/>
              <w:kinsoku/>
              <w:wordWrap/>
              <w:overflowPunct/>
              <w:topLinePunct w:val="0"/>
              <w:bidi w:val="0"/>
              <w:snapToGrid/>
              <w:spacing w:line="400" w:lineRule="exact"/>
              <w:ind w:firstLine="482" w:firstLineChars="200"/>
              <w:textAlignment w:val="auto"/>
              <w:rPr>
                <w:rFonts w:hint="eastAsia" w:ascii="仿宋_GB2312" w:hAnsi="宋体" w:eastAsia="仿宋_GB2312"/>
                <w:b/>
                <w:bCs/>
                <w:color w:val="000000"/>
                <w:sz w:val="24"/>
                <w:lang w:val="en-US" w:eastAsia="zh-CN"/>
              </w:rPr>
            </w:pPr>
            <w:r>
              <w:rPr>
                <w:rFonts w:hint="eastAsia" w:ascii="仿宋_GB2312" w:hAnsi="宋体" w:eastAsia="仿宋_GB2312"/>
                <w:b/>
                <w:bCs/>
                <w:color w:val="000000"/>
                <w:sz w:val="24"/>
                <w:lang w:val="en-US" w:eastAsia="zh-CN"/>
              </w:rPr>
              <w:t>一、</w:t>
            </w:r>
            <w:r>
              <w:rPr>
                <w:rFonts w:hint="eastAsia" w:ascii="仿宋_GB2312" w:eastAsia="仿宋_GB2312" w:cs="MingLiU"/>
                <w:b/>
                <w:bCs/>
                <w:color w:val="000000"/>
                <w:spacing w:val="1"/>
                <w:kern w:val="0"/>
                <w:sz w:val="24"/>
              </w:rPr>
              <w:t>楼梯扶手安装安全技术交底</w:t>
            </w:r>
          </w:p>
          <w:p>
            <w:pPr>
              <w:keepNext w:val="0"/>
              <w:keepLines w:val="0"/>
              <w:pageBreakBefore w:val="0"/>
              <w:widowControl w:val="0"/>
              <w:kinsoku/>
              <w:wordWrap/>
              <w:overflowPunct/>
              <w:topLinePunct w:val="0"/>
              <w:bidi w:val="0"/>
              <w:snapToGrid/>
              <w:spacing w:line="400" w:lineRule="exact"/>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1、上下沟槽（坑）必须走马道或安全梯，通过沟槽必须走便桥。严禁在沟槽（坑）内休息。</w:t>
            </w:r>
          </w:p>
          <w:p>
            <w:pPr>
              <w:keepNext w:val="0"/>
              <w:keepLines w:val="0"/>
              <w:pageBreakBefore w:val="0"/>
              <w:widowControl w:val="0"/>
              <w:kinsoku/>
              <w:wordWrap/>
              <w:overflowPunct/>
              <w:topLinePunct w:val="0"/>
              <w:bidi w:val="0"/>
              <w:snapToGrid/>
              <w:spacing w:line="400" w:lineRule="exact"/>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2、严禁擅自拆改、移动安全防护设施。需临时拆除或变动安全防护设施时，必须经施工技术管理人员同意，并采取相应的可靠措施。</w:t>
            </w:r>
          </w:p>
          <w:p>
            <w:pPr>
              <w:keepNext w:val="0"/>
              <w:keepLines w:val="0"/>
              <w:pageBreakBefore w:val="0"/>
              <w:widowControl w:val="0"/>
              <w:kinsoku/>
              <w:wordWrap/>
              <w:overflowPunct/>
              <w:topLinePunct w:val="0"/>
              <w:bidi w:val="0"/>
              <w:snapToGrid/>
              <w:spacing w:line="400" w:lineRule="exact"/>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3、严禁从高处向下方抛扔或者从低处向高处投掷物料、工具。</w:t>
            </w:r>
          </w:p>
          <w:p>
            <w:pPr>
              <w:keepNext w:val="0"/>
              <w:keepLines w:val="0"/>
              <w:pageBreakBefore w:val="0"/>
              <w:widowControl w:val="0"/>
              <w:kinsoku/>
              <w:wordWrap/>
              <w:overflowPunct/>
              <w:topLinePunct w:val="0"/>
              <w:bidi w:val="0"/>
              <w:snapToGrid/>
              <w:spacing w:line="400" w:lineRule="exact"/>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4、夜间作业场所必须配备足够的照明设施。</w:t>
            </w:r>
          </w:p>
          <w:p>
            <w:pPr>
              <w:keepNext w:val="0"/>
              <w:keepLines w:val="0"/>
              <w:pageBreakBefore w:val="0"/>
              <w:widowControl w:val="0"/>
              <w:kinsoku/>
              <w:wordWrap/>
              <w:overflowPunct/>
              <w:topLinePunct w:val="0"/>
              <w:bidi w:val="0"/>
              <w:snapToGrid/>
              <w:spacing w:line="400" w:lineRule="exact"/>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5、作业中出现危险征兆时，作业人员必须停止作业，撤至安全区域，并立即向上级报告。未经施工技术管理人员批准，严禁恢复作业。紧急处理时，必须在施工技术管理人员的指挥下进行作业。</w:t>
            </w:r>
          </w:p>
          <w:p>
            <w:pPr>
              <w:keepNext w:val="0"/>
              <w:keepLines w:val="0"/>
              <w:pageBreakBefore w:val="0"/>
              <w:widowControl w:val="0"/>
              <w:kinsoku/>
              <w:wordWrap/>
              <w:overflowPunct/>
              <w:topLinePunct w:val="0"/>
              <w:bidi w:val="0"/>
              <w:snapToGrid/>
              <w:spacing w:line="400" w:lineRule="exact"/>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6、在运转材料时</w:t>
            </w:r>
            <w:r>
              <w:rPr>
                <w:rFonts w:hint="eastAsia" w:ascii="仿宋_GB2312" w:eastAsia="仿宋_GB2312"/>
                <w:sz w:val="24"/>
              </w:rPr>
              <w:t>绳索等工具必须牢靠，</w:t>
            </w:r>
            <w:r>
              <w:rPr>
                <w:rFonts w:hint="eastAsia" w:ascii="仿宋_GB2312" w:hAnsi="宋体" w:eastAsia="仿宋_GB2312"/>
                <w:color w:val="000000"/>
                <w:sz w:val="24"/>
              </w:rPr>
              <w:t>要拿稳放牢，防止滑落伤人。</w:t>
            </w:r>
          </w:p>
          <w:p>
            <w:pPr>
              <w:keepNext w:val="0"/>
              <w:keepLines w:val="0"/>
              <w:pageBreakBefore w:val="0"/>
              <w:widowControl w:val="0"/>
              <w:kinsoku/>
              <w:wordWrap/>
              <w:overflowPunct/>
              <w:topLinePunct w:val="0"/>
              <w:autoSpaceDE w:val="0"/>
              <w:autoSpaceDN w:val="0"/>
              <w:bidi w:val="0"/>
              <w:adjustRightInd w:val="0"/>
              <w:snapToGrid/>
              <w:spacing w:line="400" w:lineRule="exact"/>
              <w:ind w:right="-20" w:firstLine="480" w:firstLineChars="200"/>
              <w:textAlignment w:val="auto"/>
              <w:rPr>
                <w:rFonts w:ascii="仿宋_GB2312" w:eastAsia="仿宋_GB2312" w:cs="MingLiU"/>
                <w:color w:val="000000"/>
                <w:spacing w:val="1"/>
                <w:kern w:val="0"/>
                <w:sz w:val="24"/>
              </w:rPr>
            </w:pPr>
            <w:r>
              <w:rPr>
                <w:rFonts w:hint="eastAsia" w:ascii="仿宋_GB2312" w:hAnsi="宋体" w:eastAsia="仿宋_GB2312"/>
                <w:color w:val="000000"/>
                <w:sz w:val="24"/>
              </w:rPr>
              <w:t>7、</w:t>
            </w:r>
            <w:r>
              <w:rPr>
                <w:rFonts w:hint="eastAsia" w:ascii="仿宋_GB2312" w:eastAsia="仿宋_GB2312" w:cs="MingLiU"/>
                <w:color w:val="000000"/>
                <w:spacing w:val="1"/>
                <w:kern w:val="0"/>
                <w:sz w:val="24"/>
              </w:rPr>
              <w:t>严禁酒后作业。</w:t>
            </w:r>
          </w:p>
          <w:p>
            <w:pPr>
              <w:keepNext w:val="0"/>
              <w:keepLines w:val="0"/>
              <w:pageBreakBefore w:val="0"/>
              <w:widowControl w:val="0"/>
              <w:kinsoku/>
              <w:wordWrap/>
              <w:overflowPunct/>
              <w:topLinePunct w:val="0"/>
              <w:bidi w:val="0"/>
              <w:snapToGrid/>
              <w:spacing w:line="400" w:lineRule="exact"/>
              <w:ind w:firstLine="484" w:firstLineChars="200"/>
              <w:textAlignment w:val="auto"/>
              <w:rPr>
                <w:rFonts w:hint="eastAsia" w:ascii="仿宋_GB2312" w:eastAsia="仿宋_GB2312" w:cs="MingLiU"/>
                <w:color w:val="000000"/>
                <w:spacing w:val="1"/>
                <w:kern w:val="0"/>
                <w:sz w:val="24"/>
              </w:rPr>
            </w:pPr>
            <w:r>
              <w:rPr>
                <w:rFonts w:hint="eastAsia" w:ascii="仿宋_GB2312" w:eastAsia="仿宋_GB2312" w:cs="MingLiU"/>
                <w:color w:val="000000"/>
                <w:spacing w:val="1"/>
                <w:kern w:val="0"/>
                <w:sz w:val="24"/>
              </w:rPr>
              <w:t>8、自身产生的生活或建筑垃圾，应做到工完场清。</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二</w:t>
            </w:r>
            <w:r>
              <w:rPr>
                <w:rFonts w:hint="eastAsia" w:ascii="仿宋_GB2312" w:hAnsi="仿宋_GB2312" w:eastAsia="仿宋_GB2312" w:cs="仿宋_GB2312"/>
                <w:b/>
                <w:bCs/>
                <w:color w:val="000000"/>
                <w:sz w:val="24"/>
                <w:szCs w:val="24"/>
              </w:rPr>
              <w:t>、</w:t>
            </w:r>
            <w:r>
              <w:rPr>
                <w:rFonts w:hint="eastAsia" w:ascii="仿宋_GB2312" w:hAnsi="仿宋_GB2312" w:eastAsia="仿宋_GB2312" w:cs="仿宋_GB2312"/>
                <w:b/>
                <w:bCs/>
                <w:color w:val="000000"/>
                <w:sz w:val="24"/>
                <w:szCs w:val="24"/>
                <w:lang w:val="en-US" w:eastAsia="zh-CN"/>
              </w:rPr>
              <w:t>新冠疫情防控交底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1.新型冠状病毒感染的肺炎防控措施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勤洗手；（2）保持环境清洁和通风及良好的呼吸道卫生习惯；（3）增强体质和免疫力；（4）尽量减少到人群密集场所活动，避免接触呼吸道感染患者，如出现疑似新冠疫情症状，应立刻隔离休息、就医；（5）正确佩戴医用口罩。分清口罩正反面后，压紧鼻上金属条，覆盖住鼻子和嘴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2、何时就医（新冠疫情临床表现）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如出现发热、乏力、干咳等新冠疫情表现症状，并不意味着被感染了。但出现（1）发热 (腋下体温≥37.3℃)、咳嗽、气促等急性呼吸道感染症状（2）有高中风险地区旅行或居住史，或发病前14天内接触过来自高中风险的发热伴呼吸道症状的患者，或出现小范围聚集性发病；应到指定医疗机构进行排查、诊治</w:t>
            </w:r>
            <w:r>
              <w:rPr>
                <w:rFonts w:hint="eastAsia" w:ascii="仿宋_GB2312" w:hAnsi="仿宋_GB2312" w:eastAsia="仿宋_GB2312" w:cs="仿宋_GB2312"/>
                <w:b w:val="0"/>
                <w:color w:val="000000"/>
                <w:kern w:val="2"/>
                <w:sz w:val="24"/>
                <w:szCs w:val="24"/>
                <w:highlight w:val="none"/>
                <w:lang w:val="en-US" w:eastAsia="zh-CN" w:bidi="ar-SA"/>
              </w:rPr>
              <w:t>（重庆大学附属三峡医院）。</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3、注意事项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作业时应采取错峰作业，除佩戴必要的劳保用品外也要正确佩戴号口罩。每人作业间距应大于1米，作业时禁止面对面交头接耳。禁止饮酒后上岗，如发现有发热、咳嗽等，应停止作业，主动上报并隔离。避免大规模传染；（2）当出现发热 (腋下体温≥37.3℃)、咳嗽、气促等急性呼吸道感染症状，立即向安保队长</w:t>
            </w:r>
            <w:r>
              <w:rPr>
                <w:rFonts w:hint="eastAsia" w:ascii="仿宋_GB2312" w:hAnsi="仿宋_GB2312" w:eastAsia="仿宋_GB2312" w:cs="仿宋_GB2312"/>
                <w:b w:val="0"/>
                <w:color w:val="000000"/>
                <w:kern w:val="2"/>
                <w:sz w:val="24"/>
                <w:szCs w:val="24"/>
                <w:highlight w:val="none"/>
                <w:lang w:val="en-US" w:eastAsia="zh-CN" w:bidi="ar-SA"/>
              </w:rPr>
              <w:t>黄民圣（15523455566）</w:t>
            </w:r>
            <w:r>
              <w:rPr>
                <w:rFonts w:hint="eastAsia" w:ascii="仿宋_GB2312" w:hAnsi="仿宋_GB2312" w:eastAsia="仿宋_GB2312" w:cs="仿宋_GB2312"/>
                <w:color w:val="000000"/>
                <w:sz w:val="24"/>
                <w:szCs w:val="24"/>
                <w:lang w:val="en-US" w:eastAsia="zh-CN"/>
              </w:rPr>
              <w:t>、分包管理人员、安全部汇报，并进行自我隔离；（3）错峰下班，口罩扔至指定地方，分餐进食。</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4、承诺事项：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为了全力支持配合新型冠状病毒感染的肺炎疫性防控工作，切实保障本人及他人身体健康和生命安全，应做到以下承诺：</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本人14天内无疫性重点地区旅居史、与疫情重点地区人员接触史和乘坐过来自疫情重点地区交通工具返回重庆市的情况。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本人目前身体健康，无拉肚子、呼吸困难、咳嗽、四肢乏力、发烧（≥37.3℃）等情况。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加强个人防护。学好、用好防控知识手册，自觉佩戴口罩，主动接受体温检测。</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规范个人行为，下班后主动防控，不组织、参加聚会，不参与人员聚集，尽可能减少出门。</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谨言慎行，不造谣、不传谣、不信谣，维护施工现场稳定。</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每天进行自我健康检查，如有不适症状，立即向施工责任单位反映，并及时就医。</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必须严格按照项目部的进场流程办理完手续后才能进入施工现场。若现场封闭管理，则严格服从上下班两点一线管理，严禁私自外出，需要外出必须打申请，在使用消毒液过程中，酒精与84消毒液严禁混放。</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若本人因提供不实信息，不按照承诺落实防控措施造成疫情蔓延等不良后果，危害公共安全的，自愿承担相应法律责任。</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防高坠交底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1．熟悉施工中对高处作业的安全技术设施，发现有缺陷和隐患时，必须及时解决；危及人身安全时，必须停止作业。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2．作业时要穿整洁合体并适合作业特点的工作服，不得裸身作业，要穿适合作业特点的工作鞋，不得穿凉鞋、拖鞋。</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3．临边作业、高处作业、悬空作业时，必须先挂系挂好安全带、后作业。安全带高挂低用。待人员站在安全可靠的着点后，方可解除安全带。安全带应完好、无破损。</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4．必须随时携带和使用安全帽和安全带，同时防止机具、材料的坠落。搭拆脚手架必须使用双大钩安全带，作业层须铺好脚手板且固定牢靠、安全带有可靠挂点，人员上下有安全爬梯。悬空作业（吊篮作业、登高车作业等）、脚手架搭拆人员必须持证上岗。</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5．施工作业现场有可能坠落的物件，应一律先行清理或加以固定。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6．严禁酒后高空作业，对高空作业人员定期体检。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7．不得随意拆除脚手架等临时作业设施，因施工需要不得已必须拆除脚手架或搭板时，必须按照项目防护拆除要求填写申请，并及时恢复防护。</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8．高空作业人员在作业时,不可将工具抛来抛去,应将小件工具系带在身上,随用随取。</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9．严禁高处作业操作平台、登高设施、脚手架等未经验收投入使用。</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10．严禁六级以上大风及雷电、暴雨、大雾等恶劣气候进行露天高处作业。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四</w:t>
            </w:r>
            <w:r>
              <w:rPr>
                <w:rFonts w:hint="eastAsia" w:ascii="仿宋_GB2312" w:hAnsi="仿宋_GB2312" w:eastAsia="仿宋_GB2312" w:cs="仿宋_GB2312"/>
                <w:b/>
                <w:bCs/>
                <w:color w:val="000000"/>
                <w:sz w:val="24"/>
                <w:szCs w:val="24"/>
              </w:rPr>
              <w:t>、职业健康：</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1、现场作业应根据作业环境配备相应的职业健康防护用品。</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2、现场作业噪声较大的区域应佩戴好耳塞。</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3、处于职业健康有害因素场所作业的员工入职前应做好职业健康岗前体检，离职后前要做好职业健康离职前体检。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五</w:t>
            </w:r>
            <w:r>
              <w:rPr>
                <w:rFonts w:hint="eastAsia" w:ascii="仿宋_GB2312" w:hAnsi="仿宋_GB2312" w:eastAsia="仿宋_GB2312" w:cs="仿宋_GB2312"/>
                <w:b/>
                <w:bCs/>
                <w:color w:val="000000"/>
                <w:sz w:val="24"/>
                <w:szCs w:val="24"/>
              </w:rPr>
              <w:t>、环境方面：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1、施工过程中严禁随意凌空抛散，施工垃圾及时清运，适量洒水，减少扬尘。</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2、施工作业时必须有效控制噪声排放，做到轻拿轻放，静止抛扔材料产生噪声。</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3、对现场的材料垃圾分类堆放，能二次利用的需加以利用，减少对环境的污染。</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六</w:t>
            </w:r>
            <w:r>
              <w:rPr>
                <w:rFonts w:hint="eastAsia" w:ascii="仿宋_GB2312" w:hAnsi="仿宋_GB2312" w:eastAsia="仿宋_GB2312" w:cs="仿宋_GB2312"/>
                <w:b/>
                <w:bCs/>
                <w:color w:val="000000"/>
                <w:sz w:val="24"/>
                <w:szCs w:val="24"/>
              </w:rPr>
              <w:t>、消防方面：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1、动火作业必须办理动火证，旁边配备灭火器并有看火人。</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2、楼层内需配备足量的灭火器，消防用水需上施工层。</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3、施工现场禁止流动吸烟，吸烟需到附近的吸烟亭内。</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highlight w:val="none"/>
              </w:rPr>
            </w:pPr>
            <w:r>
              <w:rPr>
                <w:rFonts w:hint="eastAsia" w:ascii="仿宋_GB2312" w:hAnsi="仿宋_GB2312" w:eastAsia="仿宋_GB2312" w:cs="仿宋_GB2312"/>
                <w:b/>
                <w:bCs/>
                <w:color w:val="000000"/>
                <w:sz w:val="24"/>
                <w:szCs w:val="24"/>
                <w:highlight w:val="none"/>
                <w:lang w:val="en-US" w:eastAsia="zh-CN"/>
              </w:rPr>
              <w:t>七</w:t>
            </w:r>
            <w:r>
              <w:rPr>
                <w:rFonts w:hint="eastAsia" w:ascii="仿宋_GB2312" w:hAnsi="仿宋_GB2312" w:eastAsia="仿宋_GB2312" w:cs="仿宋_GB2312"/>
                <w:b/>
                <w:bCs/>
                <w:color w:val="000000"/>
                <w:sz w:val="24"/>
                <w:szCs w:val="24"/>
                <w:highlight w:val="none"/>
              </w:rPr>
              <w:t>、应急救援交底</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1、若遇紧急情况，立即与项目管理人员联系，及时报告。</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2、若高温天气作业时感到身体不适，应立即到阴凉处休息，不得蛮干。</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3、重庆</w:t>
            </w:r>
            <w:r>
              <w:rPr>
                <w:rFonts w:hint="eastAsia" w:ascii="仿宋_GB2312" w:hAnsi="仿宋_GB2312" w:eastAsia="仿宋_GB2312" w:cs="仿宋_GB2312"/>
                <w:color w:val="000000"/>
                <w:sz w:val="24"/>
                <w:szCs w:val="24"/>
                <w:highlight w:val="none"/>
                <w:lang w:val="en-US" w:eastAsia="zh-CN"/>
              </w:rPr>
              <w:t>大学附属三峡医院</w:t>
            </w:r>
            <w:r>
              <w:rPr>
                <w:rFonts w:hint="eastAsia" w:ascii="仿宋_GB2312" w:hAnsi="仿宋_GB2312" w:eastAsia="仿宋_GB2312" w:cs="仿宋_GB2312"/>
                <w:color w:val="000000"/>
                <w:sz w:val="24"/>
                <w:szCs w:val="24"/>
                <w:highlight w:val="none"/>
              </w:rPr>
              <w:t>：电话：023-</w:t>
            </w:r>
            <w:r>
              <w:rPr>
                <w:rFonts w:hint="eastAsia" w:ascii="仿宋_GB2312" w:hAnsi="仿宋_GB2312" w:eastAsia="仿宋_GB2312" w:cs="仿宋_GB2312"/>
                <w:color w:val="000000"/>
                <w:sz w:val="24"/>
                <w:szCs w:val="24"/>
                <w:highlight w:val="none"/>
                <w:lang w:val="en-US" w:eastAsia="zh-CN"/>
              </w:rPr>
              <w:t>58120120</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地址： </w:t>
            </w:r>
            <w:r>
              <w:rPr>
                <w:rFonts w:hint="eastAsia" w:ascii="仿宋_GB2312" w:hAnsi="仿宋_GB2312" w:eastAsia="仿宋_GB2312" w:cs="仿宋_GB2312"/>
                <w:color w:val="000000"/>
                <w:sz w:val="24"/>
                <w:szCs w:val="24"/>
                <w:highlight w:val="none"/>
              </w:rPr>
              <w:fldChar w:fldCharType="begin"/>
            </w:r>
            <w:r>
              <w:rPr>
                <w:rFonts w:hint="eastAsia" w:ascii="仿宋_GB2312" w:hAnsi="仿宋_GB2312" w:eastAsia="仿宋_GB2312" w:cs="仿宋_GB2312"/>
                <w:color w:val="000000"/>
                <w:sz w:val="24"/>
                <w:szCs w:val="24"/>
                <w:highlight w:val="none"/>
              </w:rPr>
              <w:instrText xml:space="preserve"> HYPERLINK "http://map.mapbar.com/c_chongqing_map/" \o "重庆地图" \t "http://poi.mapbar.com/chongqing/_blank" </w:instrText>
            </w:r>
            <w:r>
              <w:rPr>
                <w:rFonts w:hint="eastAsia" w:ascii="仿宋_GB2312" w:hAnsi="仿宋_GB2312" w:eastAsia="仿宋_GB2312" w:cs="仿宋_GB2312"/>
                <w:color w:val="000000"/>
                <w:sz w:val="24"/>
                <w:szCs w:val="24"/>
                <w:highlight w:val="none"/>
              </w:rPr>
              <w:fldChar w:fldCharType="separate"/>
            </w:r>
            <w:r>
              <w:rPr>
                <w:rFonts w:hint="eastAsia" w:ascii="仿宋_GB2312" w:hAnsi="仿宋_GB2312" w:eastAsia="仿宋_GB2312" w:cs="仿宋_GB2312"/>
                <w:color w:val="000000"/>
                <w:sz w:val="24"/>
                <w:szCs w:val="24"/>
                <w:highlight w:val="none"/>
              </w:rPr>
              <w:t>重庆</w:t>
            </w:r>
            <w:r>
              <w:rPr>
                <w:rFonts w:hint="eastAsia" w:ascii="仿宋_GB2312" w:hAnsi="仿宋_GB2312" w:eastAsia="仿宋_GB2312" w:cs="仿宋_GB2312"/>
                <w:color w:val="000000"/>
                <w:sz w:val="24"/>
                <w:szCs w:val="24"/>
                <w:highlight w:val="none"/>
              </w:rPr>
              <w:fldChar w:fldCharType="end"/>
            </w:r>
            <w:r>
              <w:rPr>
                <w:rFonts w:hint="eastAsia" w:ascii="仿宋_GB2312" w:hAnsi="仿宋_GB2312" w:eastAsia="仿宋_GB2312" w:cs="仿宋_GB2312"/>
                <w:color w:val="000000"/>
                <w:sz w:val="24"/>
                <w:szCs w:val="24"/>
                <w:highlight w:val="none"/>
                <w:lang w:val="en-US" w:eastAsia="zh-CN"/>
              </w:rPr>
              <w:t>万州区新城路165号</w:t>
            </w:r>
          </w:p>
          <w:p>
            <w:pPr>
              <w:pStyle w:val="2"/>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000000"/>
                <w:sz w:val="24"/>
                <w:szCs w:val="24"/>
                <w:highlight w:val="none"/>
              </w:rPr>
              <w:t>应急救援送医路线：</w:t>
            </w:r>
          </w:p>
          <w:p>
            <w:pPr>
              <w:rPr>
                <w:rFonts w:ascii="Times New Roman" w:hAnsi="Times New Roman"/>
                <w:b/>
                <w:sz w:val="24"/>
                <w:szCs w:val="24"/>
              </w:rPr>
            </w:pPr>
            <w:r>
              <w:rPr>
                <w:rFonts w:ascii="Times New Roman" w:hAnsi="Times New Roman"/>
                <w:b/>
                <w:sz w:val="24"/>
                <w:szCs w:val="24"/>
              </w:rPr>
              <w:drawing>
                <wp:inline distT="0" distB="0" distL="114300" distR="114300">
                  <wp:extent cx="3519170" cy="1841500"/>
                  <wp:effectExtent l="0" t="0" r="5080" b="6350"/>
                  <wp:docPr id="1" name="图片 1" descr="QQ截图2021061609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10616095212"/>
                          <pic:cNvPicPr>
                            <a:picLocks noChangeAspect="1"/>
                          </pic:cNvPicPr>
                        </pic:nvPicPr>
                        <pic:blipFill>
                          <a:blip r:embed="rId4"/>
                          <a:stretch>
                            <a:fillRect/>
                          </a:stretch>
                        </pic:blipFill>
                        <pic:spPr>
                          <a:xfrm>
                            <a:off x="0" y="0"/>
                            <a:ext cx="3519170" cy="1841500"/>
                          </a:xfrm>
                          <a:prstGeom prst="rect">
                            <a:avLst/>
                          </a:prstGeom>
                          <a:noFill/>
                          <a:ln>
                            <a:noFill/>
                          </a:ln>
                        </pic:spPr>
                      </pic:pic>
                    </a:graphicData>
                  </a:graphic>
                </wp:inline>
              </w:drawing>
            </w:r>
          </w:p>
          <w:p>
            <w:pPr>
              <w:keepNext w:val="0"/>
              <w:keepLines w:val="0"/>
              <w:pageBreakBefore w:val="0"/>
              <w:widowControl w:val="0"/>
              <w:kinsoku/>
              <w:wordWrap/>
              <w:overflowPunct/>
              <w:topLinePunct w:val="0"/>
              <w:bidi w:val="0"/>
              <w:snapToGrid/>
              <w:spacing w:line="240" w:lineRule="auto"/>
              <w:textAlignment w:val="auto"/>
              <w:rPr>
                <w:rFonts w:hint="eastAsia" w:ascii="仿宋_GB2312" w:eastAsia="仿宋_GB2312" w:cs="MingLiU"/>
                <w:color w:val="000000"/>
                <w:spacing w:val="1"/>
                <w:kern w:val="0"/>
                <w:sz w:val="24"/>
              </w:rPr>
            </w:pPr>
            <w:bookmarkStart w:id="0" w:name="_GoBack"/>
            <w:bookmarkEnd w:id="0"/>
          </w:p>
        </w:tc>
      </w:tr>
      <w:tr>
        <w:tblPrEx>
          <w:tblCellMar>
            <w:top w:w="0" w:type="dxa"/>
            <w:left w:w="0" w:type="dxa"/>
            <w:bottom w:w="0" w:type="dxa"/>
            <w:right w:w="0" w:type="dxa"/>
          </w:tblCellMar>
        </w:tblPrEx>
        <w:trPr>
          <w:trHeight w:val="1665" w:hRule="atLeast"/>
          <w:jc w:val="center"/>
        </w:trPr>
        <w:tc>
          <w:tcPr>
            <w:tcW w:w="9539" w:type="dxa"/>
            <w:gridSpan w:val="13"/>
            <w:tcBorders>
              <w:top w:val="single" w:color="auto" w:sz="4" w:space="0"/>
              <w:left w:val="single" w:color="000000" w:sz="4" w:space="0"/>
              <w:bottom w:val="single" w:color="auto" w:sz="4" w:space="0"/>
              <w:right w:val="single" w:color="000000" w:sz="4" w:space="0"/>
            </w:tcBorders>
          </w:tcPr>
          <w:p>
            <w:pPr>
              <w:autoSpaceDE w:val="0"/>
              <w:autoSpaceDN w:val="0"/>
              <w:adjustRightInd w:val="0"/>
              <w:ind w:left="103" w:right="-20"/>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针对性交底：</w:t>
            </w:r>
          </w:p>
          <w:p>
            <w:pPr>
              <w:autoSpaceDE w:val="0"/>
              <w:autoSpaceDN w:val="0"/>
              <w:adjustRightInd w:val="0"/>
              <w:spacing w:line="480" w:lineRule="exact"/>
              <w:ind w:right="-20"/>
              <w:rPr>
                <w:rFonts w:hint="eastAsia" w:ascii="仿宋_GB2312" w:eastAsia="仿宋_GB2312" w:cs="MingLiU"/>
                <w:color w:val="000000"/>
                <w:spacing w:val="1"/>
                <w:kern w:val="0"/>
                <w:sz w:val="24"/>
              </w:rPr>
            </w:pPr>
          </w:p>
        </w:tc>
      </w:tr>
      <w:tr>
        <w:tblPrEx>
          <w:tblCellMar>
            <w:top w:w="0" w:type="dxa"/>
            <w:left w:w="0" w:type="dxa"/>
            <w:bottom w:w="0" w:type="dxa"/>
            <w:right w:w="0" w:type="dxa"/>
          </w:tblCellMar>
        </w:tblPrEx>
        <w:trPr>
          <w:trHeight w:val="602" w:hRule="exact"/>
          <w:jc w:val="center"/>
        </w:trPr>
        <w:tc>
          <w:tcPr>
            <w:tcW w:w="1909" w:type="dxa"/>
            <w:gridSpan w:val="3"/>
            <w:tcBorders>
              <w:top w:val="single" w:color="auto" w:sz="4" w:space="0"/>
              <w:left w:val="single" w:color="000000" w:sz="4" w:space="0"/>
              <w:bottom w:val="single" w:color="000000" w:sz="4" w:space="0"/>
              <w:right w:val="single" w:color="auto" w:sz="4" w:space="0"/>
            </w:tcBorders>
          </w:tcPr>
          <w:p>
            <w:pPr>
              <w:autoSpaceDE w:val="0"/>
              <w:autoSpaceDN w:val="0"/>
              <w:adjustRightInd w:val="0"/>
              <w:spacing w:line="480" w:lineRule="exact"/>
              <w:ind w:left="103"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交底人签名</w:t>
            </w:r>
          </w:p>
        </w:tc>
        <w:tc>
          <w:tcPr>
            <w:tcW w:w="1377"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646" w:type="dxa"/>
            <w:gridSpan w:val="2"/>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安全员签名</w:t>
            </w:r>
          </w:p>
        </w:tc>
        <w:tc>
          <w:tcPr>
            <w:tcW w:w="1442"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298" w:type="dxa"/>
            <w:gridSpan w:val="3"/>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交底时间</w:t>
            </w:r>
          </w:p>
        </w:tc>
        <w:tc>
          <w:tcPr>
            <w:tcW w:w="1867" w:type="dxa"/>
            <w:gridSpan w:val="3"/>
            <w:tcBorders>
              <w:top w:val="single" w:color="auto"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right="-20"/>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1934" w:hRule="exact"/>
          <w:jc w:val="center"/>
        </w:trPr>
        <w:tc>
          <w:tcPr>
            <w:tcW w:w="1055" w:type="dxa"/>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80" w:lineRule="exact"/>
              <w:ind w:right="-20"/>
              <w:jc w:val="center"/>
              <w:rPr>
                <w:rFonts w:ascii="仿宋_GB2312" w:eastAsia="仿宋_GB2312"/>
                <w:color w:val="000000"/>
                <w:kern w:val="0"/>
                <w:sz w:val="24"/>
              </w:rPr>
            </w:pPr>
            <w:r>
              <w:rPr>
                <w:rFonts w:hint="eastAsia" w:ascii="仿宋_GB2312" w:eastAsia="仿宋_GB2312" w:cs="MingLiU"/>
                <w:color w:val="000000"/>
                <w:spacing w:val="1"/>
                <w:kern w:val="0"/>
                <w:sz w:val="24"/>
              </w:rPr>
              <w:t>被交底人签名</w:t>
            </w:r>
          </w:p>
        </w:tc>
        <w:tc>
          <w:tcPr>
            <w:tcW w:w="8484" w:type="dxa"/>
            <w:gridSpan w:val="1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tc>
      </w:tr>
    </w:tbl>
    <w:p>
      <w:pPr>
        <w:autoSpaceDE w:val="0"/>
        <w:autoSpaceDN w:val="0"/>
        <w:adjustRightInd w:val="0"/>
        <w:spacing w:line="320" w:lineRule="exact"/>
        <w:ind w:right="-20"/>
        <w:jc w:val="left"/>
        <w:rPr>
          <w:rFonts w:ascii="仿宋_GB2312" w:eastAsia="仿宋_GB2312" w:cs="MingLiU"/>
          <w:color w:val="000000"/>
          <w:kern w:val="0"/>
          <w:sz w:val="24"/>
        </w:rPr>
      </w:pPr>
      <w:r>
        <w:rPr>
          <w:rFonts w:hint="eastAsia" w:ascii="仿宋_GB2312" w:eastAsia="仿宋_GB2312" w:cs="MingLiU"/>
          <w:color w:val="000000"/>
          <w:spacing w:val="1"/>
          <w:w w:val="99"/>
          <w:kern w:val="0"/>
          <w:sz w:val="24"/>
        </w:rPr>
        <w:t>本表一式三份，交底人、被交底人各一份，另一份存档</w:t>
      </w:r>
    </w:p>
    <w:sectPr>
      <w:pgSz w:w="11906" w:h="16838"/>
      <w:pgMar w:top="720" w:right="720" w:bottom="720" w:left="72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华文中宋">
    <w:panose1 w:val="02010600040101010101"/>
    <w:charset w:val="86"/>
    <w:family w:val="auto"/>
    <w:pitch w:val="default"/>
    <w:sig w:usb0="00000287" w:usb1="080F0000" w:usb2="00000000" w:usb3="00000000" w:csb0="0004009F" w:csb1="DFD70000"/>
  </w:font>
  <w:font w:name="MingLiU">
    <w:panose1 w:val="02020509000000000000"/>
    <w:charset w:val="88"/>
    <w:family w:val="modern"/>
    <w:pitch w:val="default"/>
    <w:sig w:usb0="A00002FF" w:usb1="28CFFCFA" w:usb2="00000016" w:usb3="00000000" w:csb0="0010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56E27"/>
    <w:multiLevelType w:val="singleLevel"/>
    <w:tmpl w:val="B7556E27"/>
    <w:lvl w:ilvl="0" w:tentative="0">
      <w:start w:val="3"/>
      <w:numFmt w:val="chineseCounting"/>
      <w:suff w:val="nothing"/>
      <w:lvlText w:val="%1、"/>
      <w:lvlJc w:val="left"/>
      <w:rPr>
        <w:rFonts w:hint="eastAsia"/>
      </w:rPr>
    </w:lvl>
  </w:abstractNum>
  <w:abstractNum w:abstractNumId="1">
    <w:nsid w:val="4DC502FA"/>
    <w:multiLevelType w:val="singleLevel"/>
    <w:tmpl w:val="4DC502FA"/>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36"/>
    <w:rsid w:val="00007942"/>
    <w:rsid w:val="00030A56"/>
    <w:rsid w:val="000E62C0"/>
    <w:rsid w:val="001720C1"/>
    <w:rsid w:val="00284836"/>
    <w:rsid w:val="002E4C7B"/>
    <w:rsid w:val="004E24BE"/>
    <w:rsid w:val="005E65D3"/>
    <w:rsid w:val="006164B8"/>
    <w:rsid w:val="006549C5"/>
    <w:rsid w:val="00655D52"/>
    <w:rsid w:val="006A67FC"/>
    <w:rsid w:val="00745E78"/>
    <w:rsid w:val="007C2C26"/>
    <w:rsid w:val="008133F7"/>
    <w:rsid w:val="00871448"/>
    <w:rsid w:val="00972B44"/>
    <w:rsid w:val="009A7F34"/>
    <w:rsid w:val="00A97A3C"/>
    <w:rsid w:val="00C03039"/>
    <w:rsid w:val="00C222D5"/>
    <w:rsid w:val="00CF65D4"/>
    <w:rsid w:val="00E17ECA"/>
    <w:rsid w:val="00EA6EB0"/>
    <w:rsid w:val="16130722"/>
    <w:rsid w:val="17310B60"/>
    <w:rsid w:val="32F12542"/>
    <w:rsid w:val="6AE06671"/>
    <w:rsid w:val="74327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2">
    <w:name w:val="投标正文"/>
    <w:basedOn w:val="1"/>
    <w:qFormat/>
    <w:uiPriority w:val="0"/>
    <w:pPr>
      <w:adjustRightInd w:val="0"/>
      <w:snapToGrid w:val="0"/>
    </w:pPr>
    <w:rPr>
      <w:rFonts w:ascii="Times New Roman" w:hAnsi="Times New Roman" w:eastAsia="宋体"/>
      <w:b/>
      <w:sz w:val="28"/>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semiHidden/>
    <w:uiPriority w:val="99"/>
    <w:rPr>
      <w:sz w:val="18"/>
      <w:szCs w:val="18"/>
    </w:rPr>
  </w:style>
  <w:style w:type="character" w:customStyle="1" w:styleId="8">
    <w:name w:val="页脚 Char"/>
    <w:basedOn w:val="6"/>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1</Pages>
  <Words>80</Words>
  <Characters>459</Characters>
  <Lines>3</Lines>
  <Paragraphs>1</Paragraphs>
  <TotalTime>0</TotalTime>
  <ScaleCrop>false</ScaleCrop>
  <LinksUpToDate>false</LinksUpToDate>
  <CharactersWithSpaces>538</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2018-09-27T03:36:00Z</dcterms:created>
  <dc:creator>孙康</dc:creator>
  <cp:lastModifiedBy>boom</cp:lastModifiedBy>
  <cp:lastPrinted>2014-11-14T08:24:00Z</cp:lastPrinted>
  <dcterms:modified xsi:type="dcterms:W3CDTF">2021-09-22T09:27:26Z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CE5B1474B53149C49A613CF91A28B3E3</vt:lpwstr>
  </property>
</Properties>
</file>