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221F3">
      <w:pPr>
        <w:jc w:val="center"/>
        <w:rPr>
          <w:rFonts w:hint="eastAsia" w:ascii="宋体" w:hAnsi="宋体" w:eastAsia="宋体"/>
          <w:bCs/>
          <w:sz w:val="32"/>
        </w:rPr>
      </w:pPr>
      <w:r>
        <w:rPr>
          <w:rFonts w:hint="eastAsia" w:ascii="宋体" w:hAnsi="宋体" w:eastAsia="宋体"/>
          <w:bCs/>
          <w:sz w:val="32"/>
        </w:rPr>
        <w:t xml:space="preserve"> </w:t>
      </w:r>
      <w:r>
        <w:rPr>
          <w:rFonts w:hint="eastAsia" w:ascii="方正小标宋简体" w:hAnsi="方正小标宋简体" w:eastAsia="方正小标宋简体" w:cs="方正小标宋简体"/>
          <w:bCs/>
          <w:sz w:val="48"/>
          <w:szCs w:val="48"/>
        </w:rPr>
        <w:t xml:space="preserve"> 分包单位治安消防及维稳协议</w:t>
      </w:r>
    </w:p>
    <w:p w14:paraId="36ABA362">
      <w:pPr>
        <w:ind w:firstLine="470" w:firstLineChars="196"/>
        <w:rPr>
          <w:rFonts w:hint="eastAsia" w:ascii="仿宋_GB2312" w:hAnsi="宋体" w:eastAsia="仿宋_GB2312"/>
          <w:b w:val="0"/>
          <w:sz w:val="24"/>
        </w:rPr>
      </w:pPr>
    </w:p>
    <w:p w14:paraId="68E89007">
      <w:pPr>
        <w:rPr>
          <w:rFonts w:hint="default" w:ascii="仿宋_GB2312" w:hAnsi="宋体" w:eastAsia="仿宋_GB2312"/>
          <w:b w:val="0"/>
          <w:sz w:val="28"/>
          <w:szCs w:val="28"/>
          <w:u w:val="single"/>
          <w:lang w:val="en-US"/>
        </w:rPr>
      </w:pPr>
      <w:r>
        <w:rPr>
          <w:rFonts w:hint="eastAsia" w:ascii="仿宋_GB2312" w:hAnsi="宋体" w:eastAsia="仿宋_GB2312"/>
          <w:b w:val="0"/>
          <w:sz w:val="28"/>
          <w:szCs w:val="28"/>
        </w:rPr>
        <w:t xml:space="preserve">甲方（承包人）： </w:t>
      </w:r>
      <w:r>
        <w:rPr>
          <w:rFonts w:hint="eastAsia" w:ascii="仿宋_GB2312" w:hAnsi="宋体" w:eastAsia="仿宋_GB2312"/>
          <w:b w:val="0"/>
          <w:sz w:val="28"/>
          <w:szCs w:val="28"/>
          <w:u w:val="single"/>
          <w:lang w:eastAsia="zh-CN"/>
        </w:rPr>
        <w:t>云南机场建设发展有限公司</w:t>
      </w:r>
      <w:r>
        <w:rPr>
          <w:rFonts w:hint="eastAsia" w:ascii="仿宋_GB2312" w:hAnsi="宋体" w:eastAsia="仿宋_GB2312"/>
          <w:b w:val="0"/>
          <w:sz w:val="28"/>
          <w:szCs w:val="28"/>
          <w:u w:val="single"/>
          <w:lang w:val="en-US" w:eastAsia="zh-CN"/>
        </w:rPr>
        <w:t xml:space="preserve"> </w:t>
      </w:r>
    </w:p>
    <w:p w14:paraId="2AC70BBC">
      <w:pPr>
        <w:rPr>
          <w:rFonts w:hint="eastAsia" w:ascii="仿宋_GB2312" w:hAnsi="宋体" w:eastAsia="仿宋_GB2312"/>
          <w:b w:val="0"/>
          <w:sz w:val="28"/>
          <w:szCs w:val="28"/>
          <w:u w:val="single"/>
        </w:rPr>
      </w:pPr>
      <w:r>
        <w:rPr>
          <w:rFonts w:hint="eastAsia" w:ascii="仿宋_GB2312" w:hAnsi="宋体" w:eastAsia="仿宋_GB2312"/>
          <w:b w:val="0"/>
          <w:sz w:val="28"/>
          <w:szCs w:val="28"/>
        </w:rPr>
        <w:t>乙方（分包人）：</w:t>
      </w:r>
      <w:r>
        <w:rPr>
          <w:rFonts w:hint="eastAsia" w:ascii="仿宋_GB2312" w:hAnsi="宋体" w:eastAsia="仿宋_GB2312"/>
          <w:b w:val="0"/>
          <w:sz w:val="28"/>
          <w:szCs w:val="28"/>
          <w:u w:val="single"/>
        </w:rPr>
        <w:t xml:space="preserve">                                                                              </w:t>
      </w:r>
      <w:r>
        <w:rPr>
          <w:rFonts w:hint="eastAsia" w:ascii="仿宋_GB2312" w:hAnsi="宋体" w:eastAsia="仿宋_GB2312"/>
          <w:b w:val="0"/>
          <w:sz w:val="28"/>
          <w:szCs w:val="28"/>
        </w:rPr>
        <w:t xml:space="preserve"> </w:t>
      </w:r>
    </w:p>
    <w:p w14:paraId="738B4A3F">
      <w:pPr>
        <w:rPr>
          <w:rFonts w:hint="default" w:ascii="仿宋_GB2312" w:hAnsi="宋体" w:eastAsia="仿宋_GB2312"/>
          <w:b w:val="0"/>
          <w:sz w:val="28"/>
          <w:szCs w:val="28"/>
          <w:lang w:val="en-US" w:eastAsia="zh-CN"/>
        </w:rPr>
      </w:pPr>
      <w:r>
        <w:rPr>
          <w:rFonts w:hint="eastAsia" w:ascii="仿宋_GB2312" w:hAnsi="宋体" w:eastAsia="仿宋_GB2312"/>
          <w:b w:val="0"/>
          <w:sz w:val="28"/>
          <w:szCs w:val="28"/>
        </w:rPr>
        <w:t>项目名称：</w:t>
      </w:r>
      <w:r>
        <w:rPr>
          <w:rFonts w:hint="eastAsia" w:ascii="仿宋_GB2312" w:hAnsi="宋体" w:eastAsia="仿宋_GB2312"/>
          <w:b w:val="0"/>
          <w:sz w:val="28"/>
          <w:szCs w:val="28"/>
          <w:u w:val="single"/>
          <w:lang w:val="en-US" w:eastAsia="zh-CN"/>
        </w:rPr>
        <w:t xml:space="preserve">                                 </w:t>
      </w:r>
    </w:p>
    <w:p w14:paraId="55E8C59A">
      <w:pPr>
        <w:spacing w:line="440" w:lineRule="exact"/>
        <w:rPr>
          <w:rFonts w:hint="default" w:ascii="仿宋_GB2312" w:hAnsi="宋体" w:eastAsia="仿宋_GB2312"/>
          <w:b w:val="0"/>
          <w:sz w:val="28"/>
          <w:szCs w:val="28"/>
          <w:u w:val="single"/>
          <w:lang w:val="en-US" w:eastAsia="zh-CN"/>
        </w:rPr>
      </w:pPr>
      <w:r>
        <w:rPr>
          <w:rFonts w:hint="eastAsia" w:ascii="仿宋_GB2312" w:hAnsi="宋体" w:eastAsia="仿宋_GB2312"/>
          <w:b w:val="0"/>
          <w:sz w:val="28"/>
          <w:szCs w:val="28"/>
        </w:rPr>
        <w:t>工程地点：</w:t>
      </w:r>
      <w:r>
        <w:rPr>
          <w:rFonts w:hint="eastAsia" w:ascii="仿宋_GB2312" w:hAnsi="宋体" w:eastAsia="仿宋_GB2312"/>
          <w:b w:val="0"/>
          <w:sz w:val="28"/>
          <w:szCs w:val="28"/>
          <w:u w:val="single"/>
          <w:lang w:val="en-US" w:eastAsia="zh-CN"/>
        </w:rPr>
        <w:t xml:space="preserve">                                     </w:t>
      </w:r>
      <w:bookmarkStart w:id="0" w:name="_GoBack"/>
      <w:bookmarkEnd w:id="0"/>
    </w:p>
    <w:p w14:paraId="4359C034">
      <w:pPr>
        <w:ind w:firstLine="560" w:firstLineChars="200"/>
        <w:jc w:val="left"/>
        <w:rPr>
          <w:rFonts w:hint="eastAsia" w:ascii="仿宋_GB2312" w:eastAsia="仿宋_GB2312"/>
          <w:b w:val="0"/>
          <w:sz w:val="28"/>
          <w:szCs w:val="28"/>
          <w:u w:val="single"/>
        </w:rPr>
      </w:pPr>
    </w:p>
    <w:p w14:paraId="477294BD">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分包单位进入施工现场后，要指派专人负责消防保卫及劳务管理工作，书面报告承包人，其本人应与承包人有关人员见面进行工作对接，分包单位要对职工要进行法制观念的教育并要求他们必须遵守承包人的各项消防、保卫、劳务工人管理工作制度，夜间施工或进料必须派专人值班，主动提前到承包人值班处报到。</w:t>
      </w:r>
    </w:p>
    <w:p w14:paraId="5EB99C9B">
      <w:pPr>
        <w:ind w:firstLine="560" w:firstLineChars="200"/>
        <w:rPr>
          <w:rFonts w:hint="eastAsia" w:ascii="仿宋_GB2312" w:hAnsi="仿宋_GB2312" w:eastAsia="仿宋_GB2312"/>
          <w:b w:val="0"/>
          <w:sz w:val="28"/>
          <w:szCs w:val="28"/>
        </w:rPr>
      </w:pPr>
      <w:r>
        <w:rPr>
          <w:rFonts w:hint="eastAsia" w:ascii="仿宋_GB2312" w:hAnsi="仿宋_GB2312" w:eastAsia="仿宋_GB2312"/>
          <w:b w:val="0"/>
          <w:sz w:val="28"/>
          <w:szCs w:val="28"/>
        </w:rPr>
        <w:t>1、所有进入施工现场的管理人员和工人必须凭门禁卡刷卡进出大门，戴好安全帽。否则拒绝其进场。携带物品离开施工现场的人员必须到承包部办理出入证，否则，携带的物品将被扣留。</w:t>
      </w:r>
      <w:r>
        <w:rPr>
          <w:rFonts w:hint="eastAsia" w:ascii="仿宋_GB2312" w:hAnsi="仿宋_GB2312" w:eastAsia="仿宋_GB2312"/>
          <w:b w:val="0"/>
          <w:bCs/>
          <w:sz w:val="28"/>
          <w:szCs w:val="28"/>
        </w:rPr>
        <w:t>分包单位的人员不得侵犯承包方集体和个人财产，若有违反，除追回原物及赃款外，同时按物品价的十倍处罚。分包单位严禁在施工现场和生活区打架、斗殴，如有此行为，处5000-10000元/次的罚款；</w:t>
      </w:r>
      <w:r>
        <w:rPr>
          <w:rFonts w:hint="eastAsia" w:ascii="仿宋_GB2312" w:hAnsi="仿宋_GB2312" w:eastAsia="仿宋_GB2312"/>
          <w:b w:val="0"/>
          <w:sz w:val="28"/>
          <w:szCs w:val="28"/>
        </w:rPr>
        <w:t>工人有代刷卡带人强行冲岗、无卡强行冲岗、酒后进入大门，与门卫发生冲突的行为，为了加强工人进出门管理，如发生强行冲岗与门卫发生冲突的，对所在的劳务公司500-1000元罚款，并对当事人开除清理出场。</w:t>
      </w:r>
    </w:p>
    <w:p w14:paraId="63A2A28C">
      <w:pPr>
        <w:ind w:firstLine="560" w:firstLineChars="200"/>
        <w:jc w:val="left"/>
        <w:rPr>
          <w:rFonts w:hint="eastAsia" w:ascii="仿宋_GB2312" w:hAnsi="仿宋_GB2312" w:eastAsia="仿宋_GB2312"/>
          <w:b w:val="0"/>
          <w:bCs/>
          <w:sz w:val="28"/>
          <w:szCs w:val="28"/>
        </w:rPr>
      </w:pPr>
      <w:r>
        <w:rPr>
          <w:rFonts w:hint="eastAsia" w:ascii="仿宋_GB2312" w:hAnsi="仿宋_GB2312" w:eastAsia="仿宋_GB2312"/>
          <w:b w:val="0"/>
          <w:sz w:val="28"/>
          <w:szCs w:val="28"/>
        </w:rPr>
        <w:t>2、分包单位的外来人员必须由分包单位来人在门卫处登记，带好安全帽、反光背心后方可进入。从进出人员专用门以外的地方（如围墙等）出入的人员将被视为非正当出入要进行处罚。</w:t>
      </w:r>
      <w:r>
        <w:rPr>
          <w:rFonts w:hint="eastAsia" w:ascii="仿宋_GB2312" w:hAnsi="仿宋_GB2312" w:eastAsia="仿宋_GB2312"/>
          <w:b w:val="0"/>
          <w:bCs/>
          <w:sz w:val="28"/>
          <w:szCs w:val="28"/>
        </w:rPr>
        <w:t>禁止分包单位人员的家属及小孩在施工现场玩耍,如发现一次罚款500元,如发生伤亡者,全部责任由分包方当事人承担，</w:t>
      </w:r>
      <w:r>
        <w:rPr>
          <w:rFonts w:hint="eastAsia" w:ascii="仿宋_GB2312" w:hAnsi="仿宋_GB2312" w:eastAsia="仿宋_GB2312"/>
          <w:b w:val="0"/>
          <w:sz w:val="28"/>
          <w:szCs w:val="28"/>
        </w:rPr>
        <w:t>并追究分包方负责人责任</w:t>
      </w:r>
      <w:r>
        <w:rPr>
          <w:rFonts w:hint="eastAsia" w:ascii="仿宋_GB2312" w:hAnsi="仿宋_GB2312" w:eastAsia="仿宋_GB2312"/>
          <w:b w:val="0"/>
          <w:bCs/>
          <w:sz w:val="28"/>
          <w:szCs w:val="28"/>
        </w:rPr>
        <w:t>。</w:t>
      </w:r>
    </w:p>
    <w:p w14:paraId="54F6B4F1">
      <w:pPr>
        <w:spacing w:before="240" w:line="20" w:lineRule="atLeast"/>
        <w:ind w:firstLine="560" w:firstLineChars="200"/>
        <w:rPr>
          <w:rFonts w:hint="eastAsia" w:ascii="仿宋_GB2312" w:hAnsi="仿宋_GB2312" w:eastAsia="仿宋_GB2312"/>
          <w:b w:val="0"/>
          <w:bCs/>
          <w:sz w:val="28"/>
          <w:szCs w:val="28"/>
        </w:rPr>
      </w:pPr>
      <w:r>
        <w:rPr>
          <w:rFonts w:hint="eastAsia" w:ascii="仿宋_GB2312" w:hAnsi="仿宋_GB2312" w:eastAsia="仿宋_GB2312"/>
          <w:b w:val="0"/>
          <w:sz w:val="28"/>
          <w:szCs w:val="28"/>
        </w:rPr>
        <w:t>3、分包单位集体宿舍不得男女混住（专用夫妻房除外）。小孩不准入住工人生活区。宿舍内必须配备灭烟桶，严禁出现烟头(违者罚款20元／个)，不准使用花线、使用电饭煲，电磁炉、电炒锅、热得快等大功率电器，如违规使用，每次处500元罚款。不得私自留宿外来人员。</w:t>
      </w:r>
      <w:r>
        <w:rPr>
          <w:rFonts w:hint="eastAsia" w:ascii="仿宋_GB2312" w:hAnsi="仿宋_GB2312" w:eastAsia="仿宋_GB2312"/>
          <w:b w:val="0"/>
          <w:bCs/>
          <w:sz w:val="28"/>
          <w:szCs w:val="28"/>
        </w:rPr>
        <w:t>乙方人员进场后，必须按规定办理“出入证”，同时将合同的人数登记造册（即单位、姓名、性别、年龄、身份证号、工程名称、家庭住址）入住前报保卫部门，若不报真实人数或人名不符，一经查出，每人罚款100元。凡使用不满16岁的童工，一旦发现给予该分包方负责人500---5000元的处罚。</w:t>
      </w:r>
    </w:p>
    <w:p w14:paraId="419C13AA">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4、所有进出施工现场的车辆必须经过承包人门卫登记同意后才能放行，未经登记的车辆出工地时将被扣留。凡带料进出施工现场的车辆必须经承包人有关领导批准，否则，车内物品将被扣留。</w:t>
      </w:r>
    </w:p>
    <w:p w14:paraId="08C1B8CA">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5、重大节假日及国家召开大型会议期间分包单位必须安排领导值班，值班表要报承包人部综合办确认备案。值班人员必须坚守岗位并做好值班记录。</w:t>
      </w:r>
    </w:p>
    <w:p w14:paraId="35E3A539">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6、各专业分包单位必须加强消防意识的宣传教育，积极培训义务消防队员，动火作业点必须配备灭火器（公共区域承包人已配备消防设备）制定和落实各项消防制度，实施各项措施加强动态管理。严禁私自挪用、损坏现场消防器材，发现处500元/次的罚款。</w:t>
      </w:r>
    </w:p>
    <w:p w14:paraId="66845583">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7、施工现场严禁流动吸烟，违者将处以100元/次·人的处罚。现场各重点部位应按规定合理配备消防设施和器材。不得随便动用明火，施工用火必须在使用前报承包人消防安全保卫部门批准，办理动火手续后方可操作, 并安排专人看护，配备必要的灭火器材及接火措施。未经批准擅自动火每次罚款5000元至20000元。如因分包单位擅自动火造成的损失由分包单位自行承担，由承包人在进度款支付申请中扣除。</w:t>
      </w:r>
    </w:p>
    <w:p w14:paraId="14A9578C">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8、电气焊作业必须符合重庆市防火安全要求。</w:t>
      </w:r>
    </w:p>
    <w:p w14:paraId="6C90EB21">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 xml:space="preserve">9、各专业分包单位加强防火检查，禁止违章作业。对于明火作业必须建立24小时值班巡查制度；一查是否有“焊工证”与“动火证”；二查用火地点、时间、看火人、作业对象是否相符；三查有无灭火用具；四查易燃易爆品操作是否有误。           </w:t>
      </w:r>
    </w:p>
    <w:p w14:paraId="06E2F654">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10、把好易燃易爆物品进场关。工程进入油漆、稀料、胶水类等易燃易爆物品施工时，材料进场时采用申报制度（详见易燃易爆物品申报表）。分包单位应派专人看管，并按使用的时间和部位分次进场。</w:t>
      </w:r>
    </w:p>
    <w:p w14:paraId="670FAAD2">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11、各类仓库、办公室、机修车间、木工车间、木工工具房等不得违反下列要求：</w:t>
      </w:r>
    </w:p>
    <w:p w14:paraId="32877E97">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分包单位物资库房要有专人看管，并设明显的防火标志和防火负责人。</w:t>
      </w:r>
    </w:p>
    <w:p w14:paraId="415720C6">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严禁使用电炉取暖、做饭，严禁使用碘钨灯照明。宿舍休息室内严禁在床上吸烟。严禁未充电时手机充电器未拔取插在插座上。</w:t>
      </w:r>
    </w:p>
    <w:p w14:paraId="74233434">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严禁乱拉电线，如需用者应由电工负责架设。</w:t>
      </w:r>
    </w:p>
    <w:p w14:paraId="5972C937">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各类仓库、木工车间、油漆配料室，严禁搭设易燃临建和防晒棚。一般工程需要支设的须经承包人项目消防保卫部门批准方可使用。</w:t>
      </w:r>
    </w:p>
    <w:p w14:paraId="0826FD79">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库房内各类材料要按性质及危险性分类存放。具有自燃、易燃、易爆的物品及化学物品不得混放。</w:t>
      </w:r>
    </w:p>
    <w:p w14:paraId="546222D5">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库房管理员必须具备灭火常识，会使用灭火器材，下班前应对灯、闸、锁进行认真检查。</w:t>
      </w:r>
    </w:p>
    <w:p w14:paraId="32404111">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违反上述规定的，视情节轻重处以1000元至10000元的处罚，造成事故的，由分包单位承担损失全部。</w:t>
      </w:r>
    </w:p>
    <w:p w14:paraId="6965B350">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12、施工现场道路为消防道路必须畅通无阻。现场必须设临时消防器材，并设有明显标志，周围3米内不得堆放材料和其它物品，不准埋压、圈占、挖沟、堆土，严禁随便动用或损坏各种消防器材。</w:t>
      </w:r>
    </w:p>
    <w:p w14:paraId="3B405013">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13、施工现场易燃易爆材料必须分类堆放整齐，在安全可靠处存放，油棉纱和维修用油应妥善保管。</w:t>
      </w:r>
    </w:p>
    <w:p w14:paraId="0663CA8E">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14、施工和生活区冬季取暖，保温火炉必须设专人看管，并采取可靠措施防止煤气中毒。</w:t>
      </w:r>
    </w:p>
    <w:p w14:paraId="41DDAA08">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15、分包单位电气焊、油漆、化工、防水等项目施工要有措施方案，并应有书面防火安全交底，无方案无交底不允许施工，防火方案应经承包人项目安全部审核批准，批准后方可实施。</w:t>
      </w:r>
    </w:p>
    <w:p w14:paraId="3B77EDA7">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16、油漆、化工材料配料操作不得在办公区、仓库及宿舍区进行，违反本规定给予当事人200元/次罚款处理。</w:t>
      </w:r>
    </w:p>
    <w:p w14:paraId="4AFEEC63">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17、不经承包人项目经理部允许不得在建筑物内做仓库使用，不得存放大量易燃、易爆物品，因施工需要进入在施工现场内的易燃材料要根据计划限量进入，并要采取相应的防火措施。</w:t>
      </w:r>
    </w:p>
    <w:p w14:paraId="73D05B60">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18、易燃易爆及剧毒危险品进入现场必须由承包人项目物资部进度登记，报安全部备案，配备消防器材，并设专人看管，严格执行领用手续。</w:t>
      </w:r>
    </w:p>
    <w:p w14:paraId="331917A9">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19、 承包人有权及时处理各种违章，一般违章以教育为主，无证操作或持伪冒假证、进行危险作业，以及屡教不改等严重违章实行重罚，直至清理出场。</w:t>
      </w:r>
    </w:p>
    <w:p w14:paraId="347440D9">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20、施工现场严禁任何人员住宿，一旦发现每人每次处以500元罚款。</w:t>
      </w:r>
    </w:p>
    <w:p w14:paraId="16A2E953">
      <w:pPr>
        <w:ind w:firstLine="560" w:firstLineChars="200"/>
        <w:jc w:val="left"/>
        <w:rPr>
          <w:rFonts w:hint="eastAsia" w:ascii="仿宋_GB2312" w:hAnsi="仿宋_GB2312" w:eastAsia="仿宋_GB2312"/>
          <w:b w:val="0"/>
          <w:sz w:val="28"/>
          <w:szCs w:val="28"/>
        </w:rPr>
      </w:pPr>
      <w:r>
        <w:rPr>
          <w:rFonts w:hint="eastAsia" w:ascii="仿宋_GB2312" w:hAnsi="仿宋_GB2312" w:eastAsia="仿宋_GB2312"/>
          <w:b w:val="0"/>
          <w:sz w:val="28"/>
          <w:szCs w:val="28"/>
        </w:rPr>
        <w:t>21、夜间动火施工时，必须办理夜间动火施工证。如未办理，处1000元/次罚款。</w:t>
      </w:r>
    </w:p>
    <w:p w14:paraId="73196829">
      <w:pPr>
        <w:ind w:firstLine="560" w:firstLineChars="200"/>
        <w:jc w:val="left"/>
        <w:rPr>
          <w:rFonts w:ascii="仿宋_GB2312" w:hAnsi="仿宋_GB2312" w:eastAsia="仿宋_GB2312"/>
          <w:sz w:val="28"/>
          <w:szCs w:val="28"/>
        </w:rPr>
      </w:pPr>
      <w:r>
        <w:rPr>
          <w:rFonts w:hint="eastAsia" w:ascii="仿宋_GB2312" w:hAnsi="仿宋_GB2312" w:eastAsia="仿宋_GB2312"/>
          <w:sz w:val="28"/>
          <w:szCs w:val="28"/>
        </w:rPr>
        <w:t>22、分包单位对农民工工资支付负直接责任，应与农民工签订劳动合同，乙方须积极协助甲方办理“农民工工资卡”，并按月提供农民工工资表，同意农民工工资通过项目农民工专用账户进行支付，否则，甲方无法支付工程款，责任由乙方承担。。</w:t>
      </w:r>
      <w:r>
        <w:rPr>
          <w:rFonts w:ascii="仿宋_GB2312" w:hAnsi="仿宋_GB2312" w:eastAsia="仿宋_GB2312"/>
          <w:sz w:val="28"/>
          <w:szCs w:val="28"/>
        </w:rPr>
        <w:t xml:space="preserve"> </w:t>
      </w:r>
    </w:p>
    <w:p w14:paraId="7A9CD6B2">
      <w:pPr>
        <w:ind w:firstLine="560" w:firstLineChars="200"/>
        <w:jc w:val="left"/>
        <w:rPr>
          <w:rFonts w:ascii="仿宋_GB2312" w:hAnsi="仿宋_GB2312" w:eastAsia="仿宋_GB2312"/>
          <w:sz w:val="28"/>
          <w:szCs w:val="28"/>
        </w:rPr>
      </w:pPr>
      <w:r>
        <w:rPr>
          <w:rFonts w:hint="eastAsia" w:ascii="仿宋_GB2312" w:hAnsi="仿宋_GB2312" w:eastAsia="仿宋_GB2312"/>
          <w:sz w:val="28"/>
          <w:szCs w:val="28"/>
        </w:rPr>
        <w:t>23、分包单位进场后指派专人负责劳务工人的管理工作，建立农民工花名册、建立农民工每日用工考勤记录、按月建立农民工工资支付表、建立农民工培训、进出场登记、考勤计量、工资发放等管理台账制度。乙方在进场时必须按照甲方农民工实名制管理办法上报各项资料。乙方要确定农民工工资标准，编制工资发放表，每月将有农民工签字的工资发放表交到甲方项目经理部备案，以上作为甲方向乙方支付工程款的条件。甲方项目部将落实一个农民工工资发放监督责任人，定期抽查工资发放情况，若乙方未按时足额支付民工工资，则采取措施监督分包队伍解决，或者由甲方项目部直接发放农民工工资，所发费用将从乙方工程款中扣除。乙方应</w:t>
      </w:r>
      <w:r>
        <w:rPr>
          <w:rFonts w:ascii="仿宋_GB2312" w:hAnsi="仿宋_GB2312" w:eastAsia="仿宋_GB2312"/>
          <w:sz w:val="28"/>
          <w:szCs w:val="28"/>
        </w:rPr>
        <w:t>积极配合施工总承包</w:t>
      </w:r>
      <w:r>
        <w:rPr>
          <w:rFonts w:hint="eastAsia" w:ascii="仿宋_GB2312" w:hAnsi="仿宋_GB2312" w:eastAsia="仿宋_GB2312"/>
          <w:sz w:val="28"/>
          <w:szCs w:val="28"/>
        </w:rPr>
        <w:t>单位</w:t>
      </w:r>
      <w:r>
        <w:rPr>
          <w:rFonts w:ascii="仿宋_GB2312" w:hAnsi="仿宋_GB2312" w:eastAsia="仿宋_GB2312"/>
          <w:sz w:val="28"/>
          <w:szCs w:val="28"/>
        </w:rPr>
        <w:t xml:space="preserve">做好农民工工资银行代发的相关工作 </w:t>
      </w:r>
      <w:r>
        <w:rPr>
          <w:rFonts w:hint="eastAsia" w:ascii="仿宋_GB2312" w:hAnsi="仿宋_GB2312" w:eastAsia="仿宋_GB2312"/>
          <w:sz w:val="28"/>
          <w:szCs w:val="28"/>
        </w:rPr>
        <w:t>。</w:t>
      </w:r>
      <w:r>
        <w:rPr>
          <w:rFonts w:ascii="仿宋_GB2312" w:hAnsi="仿宋_GB2312" w:eastAsia="仿宋_GB2312"/>
          <w:sz w:val="28"/>
          <w:szCs w:val="28"/>
        </w:rPr>
        <w:t xml:space="preserve"> </w:t>
      </w:r>
    </w:p>
    <w:p w14:paraId="0E806363">
      <w:pPr>
        <w:ind w:firstLine="560" w:firstLineChars="200"/>
        <w:jc w:val="left"/>
        <w:rPr>
          <w:rFonts w:hint="eastAsia" w:ascii="仿宋_GB2312" w:hAnsi="仿宋_GB2312" w:eastAsia="仿宋_GB2312"/>
          <w:b w:val="0"/>
          <w:bCs/>
          <w:sz w:val="28"/>
          <w:szCs w:val="28"/>
        </w:rPr>
      </w:pPr>
      <w:r>
        <w:rPr>
          <w:rFonts w:hint="eastAsia" w:ascii="仿宋_GB2312" w:hAnsi="仿宋_GB2312" w:eastAsia="仿宋_GB2312"/>
          <w:b w:val="0"/>
          <w:bCs/>
          <w:sz w:val="28"/>
          <w:szCs w:val="28"/>
        </w:rPr>
        <w:t>24、本合同一式三份，甲乙双方各一份，公司备案一份。</w:t>
      </w:r>
    </w:p>
    <w:p w14:paraId="1FE0704B">
      <w:pPr>
        <w:spacing w:line="560" w:lineRule="exact"/>
        <w:ind w:firstLine="640" w:firstLineChars="200"/>
        <w:rPr>
          <w:rFonts w:hint="eastAsia" w:ascii="仿宋" w:hAnsi="仿宋" w:eastAsia="仿宋"/>
          <w:sz w:val="32"/>
          <w:szCs w:val="32"/>
        </w:rPr>
      </w:pPr>
    </w:p>
    <w:p w14:paraId="31BCEF1E">
      <w:pPr>
        <w:spacing w:line="560" w:lineRule="exact"/>
        <w:rPr>
          <w:rFonts w:hint="eastAsia" w:ascii="仿宋" w:hAnsi="仿宋" w:eastAsia="仿宋"/>
          <w:sz w:val="32"/>
          <w:szCs w:val="32"/>
        </w:rPr>
      </w:pPr>
      <w:r>
        <w:rPr>
          <w:rFonts w:hint="eastAsia" w:ascii="仿宋" w:hAnsi="仿宋" w:eastAsia="仿宋"/>
          <w:sz w:val="32"/>
          <w:szCs w:val="32"/>
          <w:lang w:eastAsia="zh-CN"/>
        </w:rPr>
        <w:t>总包</w:t>
      </w:r>
      <w:r>
        <w:rPr>
          <w:rFonts w:hint="eastAsia" w:ascii="仿宋" w:hAnsi="仿宋" w:eastAsia="仿宋"/>
          <w:sz w:val="32"/>
          <w:szCs w:val="32"/>
        </w:rPr>
        <w:t>单位：                    分包单位：</w:t>
      </w:r>
    </w:p>
    <w:p w14:paraId="1B929EA9">
      <w:pPr>
        <w:spacing w:line="560" w:lineRule="exact"/>
        <w:rPr>
          <w:rFonts w:hint="eastAsia" w:ascii="仿宋" w:hAnsi="仿宋" w:eastAsia="仿宋"/>
          <w:sz w:val="32"/>
          <w:szCs w:val="32"/>
        </w:rPr>
      </w:pPr>
      <w:r>
        <w:rPr>
          <w:rFonts w:hint="eastAsia" w:ascii="仿宋" w:hAnsi="仿宋" w:eastAsia="仿宋"/>
          <w:sz w:val="32"/>
          <w:szCs w:val="32"/>
        </w:rPr>
        <w:t>（盖章）                       （盖章）</w:t>
      </w:r>
    </w:p>
    <w:p w14:paraId="2CC30CCA">
      <w:pPr>
        <w:spacing w:line="560" w:lineRule="exact"/>
        <w:rPr>
          <w:rFonts w:hint="eastAsia" w:ascii="仿宋" w:hAnsi="仿宋" w:eastAsia="仿宋"/>
          <w:sz w:val="32"/>
          <w:szCs w:val="32"/>
        </w:rPr>
      </w:pPr>
      <w:r>
        <w:rPr>
          <w:rFonts w:hint="eastAsia" w:ascii="仿宋" w:hAnsi="仿宋" w:eastAsia="仿宋"/>
          <w:color w:val="000000"/>
          <w:sz w:val="32"/>
          <w:szCs w:val="32"/>
        </w:rPr>
        <w:t>代表：</w:t>
      </w:r>
      <w:r>
        <w:rPr>
          <w:rFonts w:hint="eastAsia" w:ascii="仿宋" w:hAnsi="仿宋" w:eastAsia="仿宋"/>
          <w:color w:val="FF0000"/>
          <w:sz w:val="32"/>
          <w:szCs w:val="32"/>
        </w:rPr>
        <w:t xml:space="preserve">   </w:t>
      </w:r>
      <w:r>
        <w:rPr>
          <w:rFonts w:hint="eastAsia" w:ascii="仿宋" w:hAnsi="仿宋" w:eastAsia="仿宋"/>
          <w:sz w:val="32"/>
          <w:szCs w:val="32"/>
        </w:rPr>
        <w:t xml:space="preserve">                    </w:t>
      </w:r>
      <w:r>
        <w:rPr>
          <w:rFonts w:hint="eastAsia" w:ascii="仿宋" w:hAnsi="仿宋" w:eastAsia="仿宋"/>
          <w:color w:val="000000"/>
          <w:sz w:val="32"/>
          <w:szCs w:val="32"/>
        </w:rPr>
        <w:t xml:space="preserve">   代表：</w:t>
      </w:r>
    </w:p>
    <w:p w14:paraId="70C837D3">
      <w:pPr>
        <w:spacing w:line="560" w:lineRule="exact"/>
        <w:rPr>
          <w:rFonts w:hint="eastAsia" w:ascii="仿宋" w:hAnsi="仿宋" w:eastAsia="仿宋"/>
          <w:sz w:val="32"/>
          <w:szCs w:val="32"/>
        </w:rPr>
      </w:pPr>
      <w:r>
        <w:rPr>
          <w:rFonts w:hint="eastAsia" w:ascii="仿宋" w:hAnsi="仿宋" w:eastAsia="仿宋"/>
          <w:sz w:val="32"/>
          <w:szCs w:val="32"/>
        </w:rPr>
        <w:t>年   月   日                    年   月   日</w:t>
      </w:r>
    </w:p>
    <w:p w14:paraId="39F94C30">
      <w:pPr>
        <w:rPr>
          <w:rFonts w:hint="eastAsia"/>
          <w:sz w:val="28"/>
          <w:szCs w:val="28"/>
          <w:u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FkODI5OWQzYmJjYzdiNjNiZDc2ZmJkYWY0ZWNmNmIifQ=="/>
  </w:docVars>
  <w:rsids>
    <w:rsidRoot w:val="4B07141F"/>
    <w:rsid w:val="0EA60BEE"/>
    <w:rsid w:val="0FAE1CDE"/>
    <w:rsid w:val="10E4093E"/>
    <w:rsid w:val="13905B58"/>
    <w:rsid w:val="13E47525"/>
    <w:rsid w:val="17A27A43"/>
    <w:rsid w:val="202C090C"/>
    <w:rsid w:val="2B59411B"/>
    <w:rsid w:val="34FA48C5"/>
    <w:rsid w:val="392A0925"/>
    <w:rsid w:val="3D7D61C9"/>
    <w:rsid w:val="3F227467"/>
    <w:rsid w:val="42C14032"/>
    <w:rsid w:val="444B7985"/>
    <w:rsid w:val="454A2211"/>
    <w:rsid w:val="463737FC"/>
    <w:rsid w:val="4B07141F"/>
    <w:rsid w:val="4B093737"/>
    <w:rsid w:val="4CE152E1"/>
    <w:rsid w:val="4F8F5230"/>
    <w:rsid w:val="54205AA1"/>
    <w:rsid w:val="548B1F4B"/>
    <w:rsid w:val="60AC4025"/>
    <w:rsid w:val="69A10052"/>
    <w:rsid w:val="6D535020"/>
    <w:rsid w:val="6F1643CE"/>
    <w:rsid w:val="719D4BEB"/>
    <w:rsid w:val="73C613D1"/>
    <w:rsid w:val="77A03579"/>
    <w:rsid w:val="79124019"/>
    <w:rsid w:val="7C373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4">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2">
    <w:name w:val="header"/>
    <w:basedOn w:val="1"/>
    <w:qFormat/>
    <w:uiPriority w:val="0"/>
    <w:pPr>
      <w:tabs>
        <w:tab w:val="center" w:pos="4153"/>
        <w:tab w:val="right" w:pos="8306"/>
      </w:tabs>
      <w:snapToGrid w:val="0"/>
      <w:jc w:val="center"/>
    </w:pPr>
    <w:rPr>
      <w:sz w:val="18"/>
      <w:szCs w:val="18"/>
    </w:rPr>
  </w:style>
  <w:style w:type="paragraph" w:styleId="6">
    <w:name w:val="Body Text"/>
    <w:basedOn w:val="1"/>
    <w:qFormat/>
    <w:uiPriority w:val="0"/>
    <w:pPr>
      <w:spacing w:after="120"/>
    </w:p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toc 1"/>
    <w:basedOn w:val="1"/>
    <w:next w:val="1"/>
    <w:qFormat/>
    <w:uiPriority w:val="0"/>
  </w:style>
  <w:style w:type="paragraph" w:styleId="10">
    <w:name w:val="Body Text Indent 3"/>
    <w:basedOn w:val="1"/>
    <w:qFormat/>
    <w:uiPriority w:val="0"/>
    <w:pPr>
      <w:adjustRightInd w:val="0"/>
      <w:spacing w:line="360" w:lineRule="atLeast"/>
      <w:ind w:firstLine="708" w:firstLineChars="196"/>
      <w:jc w:val="center"/>
      <w:textAlignment w:val="baseline"/>
    </w:pPr>
    <w:rPr>
      <w:rFonts w:ascii="楷体_GB2312" w:eastAsia="楷体_GB2312"/>
      <w:b/>
      <w:sz w:val="36"/>
      <w:szCs w:val="36"/>
    </w:rPr>
  </w:style>
  <w:style w:type="paragraph" w:styleId="11">
    <w:name w:val="toc 2"/>
    <w:basedOn w:val="1"/>
    <w:next w:val="1"/>
    <w:qFormat/>
    <w:uiPriority w:val="0"/>
    <w:pPr>
      <w:ind w:left="420" w:leftChars="200"/>
    </w:pPr>
  </w:style>
  <w:style w:type="paragraph" w:styleId="1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amond\AppData\Roaming\Kingsoft\wps\addons\pool\win-i386\knewfileruby_1.0.0.10\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0.docx</Template>
  <Pages>6</Pages>
  <Words>2921</Words>
  <Characters>2996</Characters>
  <Lines>0</Lines>
  <Paragraphs>0</Paragraphs>
  <TotalTime>0</TotalTime>
  <ScaleCrop>false</ScaleCrop>
  <LinksUpToDate>false</LinksUpToDate>
  <CharactersWithSpaces>3196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2019-01-02T06:35:00Z</dcterms:created>
  <dc:creator>fds65</dc:creator>
  <cp:lastModifiedBy>呮許伱の承諾</cp:lastModifiedBy>
  <cp:lastPrinted>2023-02-02T03:22:00Z</cp:lastPrinted>
  <dcterms:modified xsi:type="dcterms:W3CDTF">2025-02-12T02:18:51Z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A8C4A299F3274097A6D941A1A1AE5FB5</vt:lpwstr>
  </property>
  <property fmtid="{D5CDD505-2E9C-101B-9397-08002B2CF9AE}" pid="4" name="KSOTemplateDocerSaveRecord">
    <vt:lpwstr>eyJoZGlkIjoiNjg1ZGYzODhiNGVmYWY1ZjdjZTJiZjExZjFiZjY3YzEiLCJ1c2VySWQiOiI2MzcwNDkyNTMifQ==</vt:lpwstr>
  </property>
</Properties>
</file>