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825DD">
      <w:pPr>
        <w:pStyle w:val="2"/>
        <w:bidi w:val="0"/>
        <w:rPr>
          <w:rFonts w:hint="eastAsia"/>
        </w:rPr>
      </w:pPr>
      <w:bookmarkStart w:id="0" w:name="_Toc18607"/>
      <w:bookmarkStart w:id="1" w:name="_Toc10571"/>
      <w:r>
        <w:rPr>
          <w:rFonts w:hint="eastAsia"/>
        </w:rPr>
        <w:t>总包对分包进场安全总交底</w:t>
      </w:r>
      <w:bookmarkEnd w:id="0"/>
      <w:bookmarkEnd w:id="1"/>
    </w:p>
    <w:p w14:paraId="73F8AA44"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A-3-2-1</w:t>
      </w:r>
    </w:p>
    <w:p w14:paraId="24D45F95">
      <w:pPr>
        <w:widowControl/>
        <w:spacing w:line="400" w:lineRule="exact"/>
        <w:ind w:firstLine="0" w:firstLineChars="0"/>
        <w:jc w:val="left"/>
        <w:rPr>
          <w:rFonts w:hint="eastAsia" w:ascii="宋体" w:hAnsi="宋体" w:cs="Times New Roman"/>
          <w:sz w:val="24"/>
          <w:szCs w:val="20"/>
        </w:rPr>
      </w:pPr>
    </w:p>
    <w:p w14:paraId="4E201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为了贯彻“安全第一、预防为主、综合治理”的方针，保护国家、企业的财产免遭损失，保障职工的生命安全和身体健康，保障施工生产的顺利进行，各分包单位必须认</w:t>
      </w:r>
    </w:p>
    <w:p w14:paraId="3BEBA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真执行以下要求：</w:t>
      </w:r>
    </w:p>
    <w:p w14:paraId="16DA5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一、贯彻执行国家、行业的安全生产、劳动保护和消防工作的各类法规、条例、规定；遵守企业的各项安全生产制度、规定及要求。</w:t>
      </w:r>
    </w:p>
    <w:p w14:paraId="42DC3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、分包单位要服从总包单位的安全生产管理。各分包单位的负责人必须对本单位职工进行安全生产教育，以增强法制观念和提高职工的安全意识及自我保护能力，自觉遵守总包制定的安全生产纪律、安全生产制度。</w:t>
      </w:r>
    </w:p>
    <w:p w14:paraId="4B798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三、各分包单位应认真贯彻执行工地的分部分项、分工种及施工安全技术交底要求。各分包单位的负责人必须检查具体施工人员落实情况，并进行经常性的督促、指导，确保施工安全。</w:t>
      </w:r>
    </w:p>
    <w:p w14:paraId="28F30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、各分包单位的负责人应对所属施工及生活区域的施工安全、质量、防火、治安、生活卫生等方面工作全面负责。分包单位负责人离开现场，应指定专人负责，办理委托管理手续。分包单位负责人和被委托负责管理的人员，应经常检查督促本单位职工自觉做好各方面工作。</w:t>
      </w:r>
    </w:p>
    <w:p w14:paraId="4DEFD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五、各分包单位应按规定，认真开展班组安全活动。分包单位负责人应定期参加工地、班组的安全活动，以及安全、防火、生活卫生等检查，并做好检查活动的有关记录。</w:t>
      </w:r>
    </w:p>
    <w:p w14:paraId="2287D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六、各分包单位在施工期间必须接受总包方的检查、督促和指导。同时总包方应协助各分包单位搞好安全生产、防火管理。对于查出的隐患及问题，各分包单位必须限期整改。</w:t>
      </w:r>
    </w:p>
    <w:p w14:paraId="55765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七、各分包单位对各自所处的施工区域、作业环境、操作设施设备、工具用具等必须认真检查，发现问题隐患，立即停止施工，落实整改。如本单位无能力落实整改的，应及时向总包汇报，由总包协调落实有关人员进行整改，总包和分包单位确认安全后，方可施工。</w:t>
      </w:r>
    </w:p>
    <w:p w14:paraId="57410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八、由总包提供的机械设备、脚手架等设施，在搭设、安装完毕后交付使用前，总包须会同分包单位按规定共同验收，并做好验收交接使用的书面手续，严禁在未经验收或验收不合格的情况下投入使用。</w:t>
      </w:r>
    </w:p>
    <w:p w14:paraId="4335D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九、各分包单位与总包单位如需相互借用或租赁各种设施以及工具的，双方有关人员应办理借用或租赁手续，制定有关安全使用及管理制度。借出单位应保证借出的设备和工具完好并符合要求，借入单位必须进行检查，并做好书面交底记录。</w:t>
      </w:r>
    </w:p>
    <w:p w14:paraId="2225E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、各分包单位对于施工现场的脚手架、设施、设备的各种安全防护设施、安全标志和警告牌等不得擅自拆除、变动。如确需拆除变动的，必须经总包施工负责人和安全管理人员的同意，并采取必要、可靠的安全措施后方能拆除。</w:t>
      </w:r>
    </w:p>
    <w:p w14:paraId="3F232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一、特种作业及中、小型机械的操作人员，必须按规定经有关部门培训、考核合格后，持有效证件上岗作业。起重吊装人员必须遵守“十不吊”规定，严禁违章、无证操作；严禁不懂电器、机械设备的人员，擅自操作使用电器、机械设备。</w:t>
      </w:r>
    </w:p>
    <w:p w14:paraId="122C0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二、各分包单位必须严格执行防火防爆制度，易燃易爆场所严禁吸烟及动用明火，消防器材不准挪作他用。电焊、气割作业应按规定办理动火审批手续严格遵守“十不烧”规定，严禁使用电炉。冬季施工如必须采用明火加热的防冻措施时，应取得总包主管人员同意，落实防火、防中毒措施，并指派专人值班看护。</w:t>
      </w:r>
    </w:p>
    <w:p w14:paraId="68FA7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十三、各分包单位需用总包提供的电器设备时，在使用前应先进行检测，如不符合安全使用规定的，应及时向总包提出，总包应积极落实整改，整改合格后方准使用，严禁擅自乱拖乱拉私接电气线路及电气设备。</w:t>
      </w:r>
    </w:p>
    <w:p w14:paraId="1DC05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四、在施工过程中，每个单位应注意地下管线及高低压架空线路和通信设施、设备的保护。总包应将地下管线及障碍物情况向分包单位详细交底，分包单位应贯彻交底要求，如遇有问题或情况不明时要采取保护措施，停止施工，并及时向总包汇报。</w:t>
      </w:r>
    </w:p>
    <w:p w14:paraId="16F14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十五、贯彻“谁施工谁负责安全、防火”的原则。各分包单位在施工期间发生各类事故及事故苗子，应及时组织抢救伤员、保护现场，并立即向上级单位和有关部门报告。</w:t>
      </w:r>
    </w:p>
    <w:p w14:paraId="51E3A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十六、各分包单位必须全力配合总包方的一系列创优争先活动。</w:t>
      </w:r>
    </w:p>
    <w:p w14:paraId="470F7D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78" w:lineRule="exact"/>
        <w:ind w:firstLine="0" w:firstLine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十七、如总包方被上级单位处罚，总包方将双倍处罚相</w:t>
      </w:r>
    </w:p>
    <w:p w14:paraId="2F4BA4A7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ragraph">
                  <wp:posOffset>125730</wp:posOffset>
                </wp:positionV>
                <wp:extent cx="4672965" cy="1544955"/>
                <wp:effectExtent l="0" t="0" r="13335" b="171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965" cy="154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DDEE7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交底方</w:t>
                            </w:r>
                          </w:p>
                          <w:p w14:paraId="28E1B319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/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单位名称：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7249D0BD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负责人：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5pt;margin-top:9.9pt;height:121.65pt;width:367.95pt;z-index:251659264;mso-width-relative:page;mso-height-relative:page;" fillcolor="#FFFFFF" filled="t" stroked="f" coordsize="21600,21600" o:gfxdata="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89ebpdcAAAAJAQAADwAAAAAAAAABACAAAAAiAAAAZHJzL2Rvd25yZXYu&#10;eG1sUEsBAhQAFAAAAAgAh07iQB+qeWXDAQAAeAMAAA4AAAAAAAAAAQAgAAAAJg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2DDEE7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交底方</w:t>
                      </w:r>
                    </w:p>
                    <w:p w14:paraId="28E1B319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/>
                        <w:rPr>
                          <w:rFonts w:hint="eastAsia" w:ascii="仿宋_GB2312" w:hAnsi="仿宋_GB2312" w:eastAsia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单位名称：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               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auto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</w:t>
                      </w:r>
                    </w:p>
                    <w:p w14:paraId="7249D0BD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项目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负责人：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CEB03D1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4D3B8B8D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6286CEF5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5714C6E8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683D2E3B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56AF049D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05C487F7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24437F01">
      <w:pPr>
        <w:spacing w:beforeLines="0" w:afterLines="0" w:line="240" w:lineRule="auto"/>
        <w:ind w:firstLine="0" w:firstLineChars="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6CB95A30">
      <w:pPr>
        <w:widowControl/>
        <w:spacing w:line="400" w:lineRule="exact"/>
        <w:jc w:val="left"/>
        <w:rPr>
          <w:rFonts w:hint="eastAsia" w:ascii="Times New Roman" w:hAnsi="Times New Roman" w:cs="Times New Roman"/>
          <w:sz w:val="24"/>
          <w:szCs w:val="20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47625</wp:posOffset>
                </wp:positionV>
                <wp:extent cx="4568825" cy="1560830"/>
                <wp:effectExtent l="0" t="0" r="3175" b="127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0350" y="8837930"/>
                          <a:ext cx="4568825" cy="156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221A1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被交底方</w:t>
                            </w:r>
                          </w:p>
                          <w:p w14:paraId="20E7B02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单位名称：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                      </w:t>
                            </w:r>
                          </w:p>
                          <w:p w14:paraId="1AB5994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 w:firstLine="0" w:firstLineChars="0"/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lang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  <w:t>负责人：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 xml:space="preserve">             </w:t>
                            </w:r>
                          </w:p>
                          <w:p w14:paraId="7E9393E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auto"/>
                              <w:ind w:right="-62"/>
                              <w:jc w:val="right"/>
                              <w:rPr>
                                <w:rFonts w:hint="eastAsia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/>
                                <w:kern w:val="0"/>
                                <w:sz w:val="32"/>
                                <w:szCs w:val="32"/>
                                <w:lang w:val="en-US" w:eastAsia="zh-CN"/>
                              </w:rPr>
                              <w:t>年   月  日</w:t>
                            </w:r>
                            <w:r>
                              <w:rPr>
                                <w:rFonts w:hint="eastAsia" w:ascii="宋体" w:hAnsi="宋体" w:cs="Times New Roman"/>
                                <w:color w:val="000000"/>
                                <w:kern w:val="0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3pt;margin-top:3.75pt;height:122.9pt;width:359.75pt;z-index:251660288;mso-width-relative:page;mso-height-relative:page;" fillcolor="#FFFFFF" filled="t" stroked="f" coordsize="21600,21600" o:gfxdata="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oTXe51wAAAAgBAAAPAAAAAAAAAAEAIAAA&#10;ACIAAABkcnMvZG93bnJldi54bWxQSwECFAAUAAAACACHTuJAyIFjIdQBAACSAwAADgAAAAAAAAAB&#10;ACAAAAAmAQAAZHJzL2Uyb0RvYy54bWxQSwUGAAAAAAYABgBZAQAAb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0221A1C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被交底方</w:t>
                      </w:r>
                    </w:p>
                    <w:p w14:paraId="20E7B02C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单位名称：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                      </w:t>
                      </w:r>
                    </w:p>
                    <w:p w14:paraId="1AB5994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 w:firstLine="0" w:firstLineChars="0"/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lang w:eastAsia="zh-CN"/>
                        </w:rPr>
                        <w:t>项目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</w:rPr>
                        <w:t>负责人：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u w:val="single"/>
                          <w:lang w:val="en-US" w:eastAsia="zh-CN"/>
                        </w:rPr>
                        <w:t xml:space="preserve">             </w:t>
                      </w:r>
                    </w:p>
                    <w:p w14:paraId="7E9393E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auto"/>
                        <w:ind w:right="-62"/>
                        <w:jc w:val="right"/>
                        <w:rPr>
                          <w:rFonts w:hint="eastAsia" w:cs="Times New Roman"/>
                          <w:sz w:val="24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/>
                          <w:kern w:val="0"/>
                          <w:sz w:val="32"/>
                          <w:szCs w:val="32"/>
                          <w:lang w:val="en-US" w:eastAsia="zh-CN"/>
                        </w:rPr>
                        <w:t>年   月  日</w:t>
                      </w:r>
                      <w:r>
                        <w:rPr>
                          <w:rFonts w:hint="eastAsia" w:ascii="宋体" w:hAnsi="宋体" w:cs="Times New Roman"/>
                          <w:color w:val="000000"/>
                          <w:kern w:val="0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770EFBA">
      <w:pPr>
        <w:widowControl/>
        <w:spacing w:beforeLines="0" w:afterLines="0" w:line="360" w:lineRule="exact"/>
        <w:ind w:firstLine="723" w:firstLineChars="200"/>
        <w:jc w:val="center"/>
        <w:rPr>
          <w:rFonts w:hint="eastAsia" w:ascii="宋体" w:hAnsi="宋体" w:cs="Times New Roman"/>
          <w:b/>
          <w:color w:val="000000"/>
          <w:sz w:val="36"/>
          <w:szCs w:val="20"/>
        </w:rPr>
      </w:pPr>
    </w:p>
    <w:p w14:paraId="104A485A">
      <w:pPr>
        <w:widowControl/>
        <w:spacing w:beforeLines="0" w:afterLines="0" w:line="360" w:lineRule="exact"/>
        <w:ind w:firstLine="723" w:firstLineChars="200"/>
        <w:jc w:val="center"/>
        <w:rPr>
          <w:rFonts w:hint="eastAsia" w:ascii="宋体" w:hAnsi="宋体" w:cs="Times New Roman"/>
          <w:b/>
          <w:color w:val="000000"/>
          <w:sz w:val="36"/>
          <w:szCs w:val="20"/>
        </w:rPr>
      </w:pPr>
    </w:p>
    <w:p w14:paraId="61242868">
      <w:pPr>
        <w:widowControl/>
        <w:spacing w:beforeLines="0" w:afterLines="0" w:line="360" w:lineRule="exact"/>
        <w:ind w:firstLine="723" w:firstLineChars="200"/>
        <w:jc w:val="center"/>
        <w:rPr>
          <w:rFonts w:hint="eastAsia" w:ascii="宋体" w:hAnsi="宋体" w:cs="Times New Roman"/>
          <w:b/>
          <w:color w:val="000000"/>
          <w:sz w:val="36"/>
          <w:szCs w:val="20"/>
        </w:rPr>
      </w:pPr>
      <w:bookmarkStart w:id="2" w:name="_GoBack"/>
      <w:bookmarkEnd w:id="2"/>
    </w:p>
    <w:p w14:paraId="6D4188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A0AC7"/>
    <w:rsid w:val="078363C7"/>
    <w:rsid w:val="3A46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1590</Words>
  <Characters>1596</Characters>
  <Lines>0</Lines>
  <Paragraphs>0</Paragraphs>
  <TotalTime>0</TotalTime>
  <ScaleCrop>false</ScaleCrop>
  <LinksUpToDate>false</LinksUpToDate>
  <CharactersWithSpaces>1596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2021-05-14T01:31:00Z</dcterms:created>
  <dc:creator>admin</dc:creator>
  <cp:lastModifiedBy>呮許伱の承諾</cp:lastModifiedBy>
  <dcterms:modified xsi:type="dcterms:W3CDTF">2025-02-13T01:55:57Z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18A1DF1D92A247F39F6D581CB0DE43BB</vt:lpwstr>
  </property>
  <property fmtid="{D5CDD505-2E9C-101B-9397-08002B2CF9AE}" pid="4" name="KSOTemplateDocerSaveRecord">
    <vt:lpwstr>eyJoZGlkIjoiNjg1ZGYzODhiNGVmYWY1ZjdjZTJiZjExZjFiZjY3YzEiLCJ1c2VySWQiOiI2MzcwNDkyNTMifQ==</vt:lpwstr>
  </property>
</Properties>
</file>