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71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</w:tblPr>
      <w:tblGrid>
        <w:gridCol w:w="1337"/>
        <w:gridCol w:w="1645"/>
        <w:gridCol w:w="776"/>
        <w:gridCol w:w="777"/>
        <w:gridCol w:w="1259"/>
        <w:gridCol w:w="387"/>
        <w:gridCol w:w="661"/>
        <w:gridCol w:w="1876"/>
      </w:tblGrid>
      <w:tr w14:paraId="13E042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629" w:hRule="atLeast"/>
          <w:jc w:val="center"/>
        </w:trPr>
        <w:tc>
          <w:tcPr>
            <w:tcW w:w="5794" w:type="dxa"/>
            <w:gridSpan w:val="5"/>
            <w:shd w:val="solid" w:color="FFFFFF" w:fill="auto"/>
            <w:vAlign w:val="center"/>
          </w:tcPr>
          <w:p w14:paraId="6E8679D1">
            <w:pPr>
              <w:snapToGrid w:val="0"/>
              <w:jc w:val="center"/>
              <w:rPr>
                <w:rFonts w:asciiTheme="minorEastAsia" w:hAnsiTheme="minorEastAsia" w:eastAsiaTheme="minorEastAsia"/>
                <w:bCs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28"/>
                <w:szCs w:val="28"/>
              </w:rPr>
              <w:t>安全教育记录表</w:t>
            </w:r>
          </w:p>
        </w:tc>
        <w:tc>
          <w:tcPr>
            <w:tcW w:w="1048" w:type="dxa"/>
            <w:gridSpan w:val="2"/>
            <w:shd w:val="solid" w:color="FFFFFF" w:fill="auto"/>
            <w:vAlign w:val="center"/>
          </w:tcPr>
          <w:p w14:paraId="6298F5E3"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编号</w:t>
            </w:r>
          </w:p>
        </w:tc>
        <w:tc>
          <w:tcPr>
            <w:tcW w:w="1876" w:type="dxa"/>
            <w:shd w:val="solid" w:color="FFFFFF" w:fill="auto"/>
            <w:vAlign w:val="center"/>
          </w:tcPr>
          <w:p w14:paraId="338E0706"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bCs/>
                <w:shd w:val="clear" w:color="auto" w:fill="FFFFFF"/>
              </w:rPr>
            </w:pPr>
          </w:p>
        </w:tc>
      </w:tr>
      <w:tr w14:paraId="168107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6" w:hRule="atLeast"/>
          <w:jc w:val="center"/>
        </w:trPr>
        <w:tc>
          <w:tcPr>
            <w:tcW w:w="1337" w:type="dxa"/>
            <w:shd w:val="solid" w:color="FFFFFF" w:fill="auto"/>
            <w:vAlign w:val="center"/>
          </w:tcPr>
          <w:p w14:paraId="7C73514A"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培训主题</w:t>
            </w:r>
          </w:p>
        </w:tc>
        <w:tc>
          <w:tcPr>
            <w:tcW w:w="3198" w:type="dxa"/>
            <w:gridSpan w:val="3"/>
            <w:vAlign w:val="center"/>
          </w:tcPr>
          <w:p w14:paraId="401400C3">
            <w:pPr>
              <w:autoSpaceDN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lang w:eastAsia="zh-CN"/>
              </w:rPr>
              <w:t>消防安全教育培训</w:t>
            </w:r>
          </w:p>
        </w:tc>
        <w:tc>
          <w:tcPr>
            <w:tcW w:w="2307" w:type="dxa"/>
            <w:gridSpan w:val="3"/>
            <w:vAlign w:val="center"/>
          </w:tcPr>
          <w:p w14:paraId="5567E905"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cs="宋体" w:asciiTheme="minorEastAsia" w:hAnsiTheme="minorEastAsia" w:eastAsiaTheme="minorEastAsia"/>
              </w:rPr>
              <w:t>培训对象及人数</w:t>
            </w:r>
          </w:p>
        </w:tc>
        <w:tc>
          <w:tcPr>
            <w:tcW w:w="1876" w:type="dxa"/>
            <w:vAlign w:val="center"/>
          </w:tcPr>
          <w:p w14:paraId="614B57AD">
            <w:pPr>
              <w:autoSpaceDN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/>
                <w:lang w:eastAsia="zh-CN"/>
              </w:rPr>
            </w:pPr>
          </w:p>
        </w:tc>
      </w:tr>
      <w:tr w14:paraId="193D64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671" w:hRule="atLeast"/>
          <w:jc w:val="center"/>
        </w:trPr>
        <w:tc>
          <w:tcPr>
            <w:tcW w:w="1337" w:type="dxa"/>
            <w:shd w:val="solid" w:color="FFFFFF" w:fill="auto"/>
            <w:vAlign w:val="center"/>
          </w:tcPr>
          <w:p w14:paraId="71E16812"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培训部门或</w:t>
            </w:r>
            <w:r>
              <w:rPr>
                <w:rFonts w:asciiTheme="minorEastAsia" w:hAnsiTheme="minorEastAsia" w:eastAsiaTheme="minorEastAsia"/>
                <w:shd w:val="clear" w:color="auto" w:fill="FFFFFF"/>
              </w:rPr>
              <w:br w:type="textWrapping"/>
            </w: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召集人</w:t>
            </w:r>
          </w:p>
        </w:tc>
        <w:tc>
          <w:tcPr>
            <w:tcW w:w="1645" w:type="dxa"/>
            <w:vAlign w:val="center"/>
          </w:tcPr>
          <w:p w14:paraId="06C872A0">
            <w:pPr>
              <w:autoSpaceDN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highlight w:val="yellow"/>
                <w:lang w:eastAsia="zh-CN"/>
              </w:rPr>
              <w:t>项目经理或项目技术负责人</w:t>
            </w:r>
          </w:p>
        </w:tc>
        <w:tc>
          <w:tcPr>
            <w:tcW w:w="776" w:type="dxa"/>
            <w:shd w:val="solid" w:color="FFFFFF" w:fill="auto"/>
            <w:vAlign w:val="center"/>
          </w:tcPr>
          <w:p w14:paraId="7F870831"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主讲人</w:t>
            </w:r>
          </w:p>
        </w:tc>
        <w:tc>
          <w:tcPr>
            <w:tcW w:w="2036" w:type="dxa"/>
            <w:gridSpan w:val="2"/>
            <w:vAlign w:val="center"/>
          </w:tcPr>
          <w:p w14:paraId="4F099BC3">
            <w:pPr>
              <w:autoSpaceDN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highlight w:val="yellow"/>
                <w:lang w:eastAsia="zh-CN"/>
              </w:rPr>
              <w:t>安全员</w:t>
            </w:r>
          </w:p>
        </w:tc>
        <w:tc>
          <w:tcPr>
            <w:tcW w:w="1048" w:type="dxa"/>
            <w:gridSpan w:val="2"/>
            <w:shd w:val="solid" w:color="FFFFFF" w:fill="auto"/>
            <w:vAlign w:val="center"/>
          </w:tcPr>
          <w:p w14:paraId="4BEDCAB0"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记录整理人</w:t>
            </w:r>
          </w:p>
        </w:tc>
        <w:tc>
          <w:tcPr>
            <w:tcW w:w="1876" w:type="dxa"/>
            <w:vAlign w:val="center"/>
          </w:tcPr>
          <w:p w14:paraId="0685A2B2">
            <w:pPr>
              <w:autoSpaceDN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highlight w:val="yellow"/>
                <w:lang w:eastAsia="zh-CN"/>
              </w:rPr>
              <w:t>资料员</w:t>
            </w:r>
          </w:p>
        </w:tc>
      </w:tr>
      <w:tr w14:paraId="3D08D7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6" w:hRule="atLeast"/>
          <w:jc w:val="center"/>
        </w:trPr>
        <w:tc>
          <w:tcPr>
            <w:tcW w:w="1337" w:type="dxa"/>
            <w:shd w:val="solid" w:color="FFFFFF" w:fill="auto"/>
            <w:vAlign w:val="center"/>
          </w:tcPr>
          <w:p w14:paraId="71534EBC"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培训时间</w:t>
            </w:r>
          </w:p>
        </w:tc>
        <w:tc>
          <w:tcPr>
            <w:tcW w:w="2421" w:type="dxa"/>
            <w:gridSpan w:val="2"/>
            <w:vAlign w:val="center"/>
          </w:tcPr>
          <w:p w14:paraId="6D119427"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777" w:type="dxa"/>
            <w:shd w:val="solid" w:color="FFFFFF" w:fill="auto"/>
            <w:vAlign w:val="center"/>
          </w:tcPr>
          <w:p w14:paraId="592E76BA"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地点</w:t>
            </w:r>
          </w:p>
        </w:tc>
        <w:tc>
          <w:tcPr>
            <w:tcW w:w="1646" w:type="dxa"/>
            <w:gridSpan w:val="2"/>
            <w:vAlign w:val="center"/>
          </w:tcPr>
          <w:p w14:paraId="250D71A4"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661" w:type="dxa"/>
            <w:shd w:val="solid" w:color="FFFFFF" w:fill="auto"/>
            <w:vAlign w:val="center"/>
          </w:tcPr>
          <w:p w14:paraId="760EB53D"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学时</w:t>
            </w:r>
          </w:p>
        </w:tc>
        <w:tc>
          <w:tcPr>
            <w:tcW w:w="1876" w:type="dxa"/>
            <w:vAlign w:val="center"/>
          </w:tcPr>
          <w:p w14:paraId="00D1D40D">
            <w:pPr>
              <w:autoSpaceDN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2</w:t>
            </w:r>
          </w:p>
        </w:tc>
      </w:tr>
      <w:tr w14:paraId="547271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6" w:hRule="atLeast"/>
          <w:jc w:val="center"/>
        </w:trPr>
        <w:tc>
          <w:tcPr>
            <w:tcW w:w="8718" w:type="dxa"/>
            <w:gridSpan w:val="8"/>
            <w:shd w:val="solid" w:color="FFFFFF" w:fill="auto"/>
            <w:vAlign w:val="center"/>
          </w:tcPr>
          <w:p w14:paraId="5D17DFED">
            <w:pPr>
              <w:shd w:val="solid" w:color="FFFFFF" w:fill="auto"/>
              <w:autoSpaceDN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/>
                <w:shd w:val="clear" w:color="auto" w:fill="FFFFFF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培训提纲：</w:t>
            </w:r>
            <w:r>
              <w:rPr>
                <w:rFonts w:hint="eastAsia" w:cs="宋体" w:asciiTheme="minorEastAsia" w:hAnsiTheme="minorEastAsia" w:eastAsiaTheme="minorEastAsia"/>
                <w:shd w:val="clear" w:color="auto" w:fill="FFFFFF"/>
                <w:lang w:eastAsia="zh-CN"/>
              </w:rPr>
              <w:t>提高消防安全意识、掌握灭火方法、熟知报警电话</w:t>
            </w:r>
          </w:p>
        </w:tc>
      </w:tr>
      <w:tr w14:paraId="232463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8" w:hRule="atLeast"/>
          <w:jc w:val="center"/>
        </w:trPr>
        <w:tc>
          <w:tcPr>
            <w:tcW w:w="8718" w:type="dxa"/>
            <w:gridSpan w:val="8"/>
            <w:vMerge w:val="restart"/>
            <w:vAlign w:val="center"/>
          </w:tcPr>
          <w:p w14:paraId="302EA78C">
            <w:pPr>
              <w:pStyle w:val="2"/>
              <w:spacing w:line="360" w:lineRule="auto"/>
              <w:ind w:firstLine="480" w:firstLineChars="200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培训内容：</w:t>
            </w:r>
            <w:r>
              <w:rPr>
                <w:rFonts w:asciiTheme="minorEastAsia" w:hAnsiTheme="minorEastAsia" w:eastAsiaTheme="minorEastAsia"/>
              </w:rPr>
              <w:t xml:space="preserve"> </w:t>
            </w:r>
          </w:p>
          <w:p w14:paraId="38D35AF6">
            <w:pPr>
              <w:pStyle w:val="2"/>
              <w:spacing w:line="360" w:lineRule="auto"/>
              <w:ind w:firstLine="480" w:firstLineChars="200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</w:rPr>
              <w:t>1、 消防工作的基本方针：“预防为主，防消结合”。宗旨是：人人必须遵守消防规章制度；爱护消防设施和器材，学会灭</w:t>
            </w:r>
            <w:bookmarkStart w:id="0" w:name="_GoBack"/>
            <w:bookmarkEnd w:id="0"/>
            <w:r>
              <w:rPr>
                <w:rFonts w:hint="eastAsia" w:ascii="宋体" w:hAnsi="宋体"/>
              </w:rPr>
              <w:t>火器的使用，把消防工作与施工生产放在同等重要位置；加强消防意识，时刻保持警惕。</w:t>
            </w:r>
          </w:p>
          <w:p w14:paraId="1B4E383A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90" w:lineRule="atLeast"/>
              <w:ind w:leftChars="200" w:right="0" w:rightChars="0"/>
              <w:jc w:val="left"/>
              <w:textAlignment w:val="auto"/>
              <w:outlineLvl w:val="9"/>
              <w:rPr>
                <w:rFonts w:hint="eastAsia" w:ascii="宋体" w:hAnsi="宋体" w:eastAsia="宋体" w:cs="Arial"/>
                <w:kern w:val="0"/>
                <w:sz w:val="24"/>
                <w:szCs w:val="24"/>
                <w:lang w:val="en-US" w:eastAsia="zh-Hans" w:bidi="ar-SA"/>
              </w:rPr>
            </w:pPr>
            <w:r>
              <w:rPr>
                <w:rFonts w:hint="eastAsia" w:ascii="宋体" w:hAnsi="宋体"/>
              </w:rPr>
              <w:t>2、</w:t>
            </w:r>
            <w:r>
              <w:rPr>
                <w:rFonts w:hint="eastAsia" w:ascii="宋体" w:hAnsi="宋体" w:eastAsia="宋体" w:cs="Arial"/>
                <w:kern w:val="0"/>
                <w:sz w:val="24"/>
                <w:szCs w:val="24"/>
                <w:lang w:val="en-US" w:eastAsia="zh-Hans" w:bidi="ar-SA"/>
              </w:rPr>
              <w:t>消防活动作为加强火灾防控、提高员工消防安全意识，针对火灾特点普及消防法律法规和防火、灭火、疏散逃生常识，掌握排查、消除火灾隐患方法，并以发送手机消防专题短消息，提醒关注消防安全，开展安全生产消防知识宣教教育培训活动。</w:t>
            </w:r>
          </w:p>
          <w:p w14:paraId="7F6B57AD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90" w:lineRule="atLeast"/>
              <w:ind w:leftChars="200" w:right="0" w:rightChars="0"/>
              <w:jc w:val="left"/>
              <w:textAlignment w:val="auto"/>
              <w:outlineLvl w:val="9"/>
              <w:rPr>
                <w:rFonts w:hint="eastAsia" w:ascii="宋体" w:hAnsi="宋体"/>
              </w:rPr>
            </w:pPr>
            <w:r>
              <w:rPr>
                <w:rFonts w:hint="eastAsia" w:ascii="宋体" w:hAnsi="宋体" w:eastAsia="宋体" w:cs="Arial"/>
                <w:kern w:val="0"/>
                <w:sz w:val="24"/>
                <w:szCs w:val="24"/>
                <w:lang w:val="en-US" w:eastAsia="zh-CN" w:bidi="ar-SA"/>
              </w:rPr>
              <w:t>3、</w:t>
            </w:r>
            <w:r>
              <w:rPr>
                <w:rFonts w:hint="eastAsia" w:ascii="宋体" w:hAnsi="宋体"/>
              </w:rPr>
              <w:t>火灾——是指在时间和空间上失去控制的燃烧造成的损失。</w:t>
            </w:r>
          </w:p>
          <w:p w14:paraId="2DC91753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90" w:lineRule="atLeast"/>
              <w:ind w:leftChars="200" w:right="0" w:rightChars="0"/>
              <w:jc w:val="left"/>
              <w:textAlignment w:val="auto"/>
              <w:outlineLvl w:val="9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  <w:r>
              <w:rPr>
                <w:rFonts w:hint="eastAsia" w:ascii="宋体" w:hAnsi="宋体"/>
              </w:rPr>
              <w:t>、燃烧——是可燃物与氧化剂发生的一种氧化放热反应，通常伴有光、烟、或火焰。</w:t>
            </w:r>
          </w:p>
          <w:p w14:paraId="1404C35F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90" w:lineRule="atLeast"/>
              <w:ind w:leftChars="200" w:right="0" w:rightChars="0"/>
              <w:jc w:val="left"/>
              <w:textAlignment w:val="auto"/>
              <w:outlineLvl w:val="9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5、</w:t>
            </w:r>
            <w:r>
              <w:rPr>
                <w:rFonts w:hint="eastAsia" w:ascii="宋体" w:hAnsi="宋体"/>
              </w:rPr>
              <w:t>燃烧的三要素：可燃物、助燃物及着火源。</w:t>
            </w:r>
          </w:p>
          <w:p w14:paraId="448C3E50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90" w:lineRule="atLeast"/>
              <w:ind w:leftChars="200" w:right="0" w:rightChars="0"/>
              <w:jc w:val="left"/>
              <w:textAlignment w:val="auto"/>
              <w:outlineLvl w:val="9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6、</w:t>
            </w:r>
            <w:r>
              <w:rPr>
                <w:rFonts w:hint="eastAsia" w:ascii="宋体" w:hAnsi="宋体"/>
              </w:rPr>
              <w:t>防火的主要措施就是：  控制可燃物、隔绝助燃物、消除着火源。</w:t>
            </w:r>
          </w:p>
          <w:p w14:paraId="6333AD47"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390" w:lineRule="atLeast"/>
              <w:ind w:leftChars="200" w:right="0" w:rightChars="0"/>
              <w:jc w:val="left"/>
              <w:textAlignment w:val="auto"/>
              <w:outlineLvl w:val="9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7、</w:t>
            </w:r>
            <w:r>
              <w:rPr>
                <w:rFonts w:hint="eastAsia" w:ascii="宋体" w:hAnsi="宋体"/>
              </w:rPr>
              <w:t>发生火灾时的处理程序：</w:t>
            </w:r>
          </w:p>
          <w:p w14:paraId="4B503CFA">
            <w:pPr>
              <w:pStyle w:val="2"/>
              <w:spacing w:line="360" w:lineRule="auto"/>
              <w:ind w:left="561" w:leftChars="267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（1）报警；（2）疏散，救援，灭火；（3）安全警戒和防护；（4）善后处理。</w:t>
            </w:r>
          </w:p>
          <w:p w14:paraId="5C7672C9">
            <w:pPr>
              <w:pStyle w:val="2"/>
              <w:spacing w:line="360" w:lineRule="auto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   8</w:t>
            </w:r>
            <w:r>
              <w:rPr>
                <w:rFonts w:hint="eastAsia" w:ascii="宋体" w:hAnsi="宋体" w:cs="宋体"/>
              </w:rPr>
              <w:t>、</w:t>
            </w:r>
            <w:r>
              <w:rPr>
                <w:rFonts w:hint="eastAsia" w:ascii="宋体" w:hAnsi="宋体"/>
              </w:rPr>
              <w:t>发生火灾时具体应做到“三查，九步骤”即</w:t>
            </w:r>
          </w:p>
          <w:p w14:paraId="7F0B51E2">
            <w:pPr>
              <w:pStyle w:val="2"/>
              <w:spacing w:line="360" w:lineRule="auto"/>
              <w:ind w:firstLine="48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三查指：</w:t>
            </w:r>
          </w:p>
          <w:p w14:paraId="43C52BC2">
            <w:pPr>
              <w:pStyle w:val="2"/>
              <w:spacing w:line="360" w:lineRule="auto"/>
              <w:ind w:firstLine="48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（1）查火源——烟雾、发光点、起火位置、起火周边的环境等；</w:t>
            </w:r>
          </w:p>
          <w:p w14:paraId="2242F2EE">
            <w:pPr>
              <w:pStyle w:val="2"/>
              <w:spacing w:line="360" w:lineRule="auto"/>
              <w:ind w:firstLine="48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（2）查火质——燃烧物的性质（固体物质、化学物质、气体、油料等），有无易燃易爆品，助燃物是什么；</w:t>
            </w:r>
          </w:p>
          <w:p w14:paraId="76F815F8">
            <w:pPr>
              <w:pStyle w:val="2"/>
              <w:spacing w:line="360" w:lineRule="auto"/>
              <w:ind w:firstLine="48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（3）查火势——即查火灾处于燃烧的哪个阶段（燃烧分三个阶段：A起火阶段——5-7分钟内，是扑灭火灾的最佳时间；B蔓延阶段：7-15分钟内； C扩大阶段——15分钟以上）</w:t>
            </w:r>
          </w:p>
          <w:p w14:paraId="4086F0EB">
            <w:pPr>
              <w:pStyle w:val="2"/>
              <w:spacing w:line="360" w:lineRule="auto"/>
              <w:ind w:firstLine="48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九步骤指：  报警、灭火、救人、疏散物资、防爆、防塌、排烟、警戒、救护；</w:t>
            </w:r>
          </w:p>
          <w:p w14:paraId="3144D685">
            <w:pPr>
              <w:pStyle w:val="3"/>
              <w:numPr>
                <w:ilvl w:val="0"/>
                <w:numId w:val="0"/>
              </w:numPr>
              <w:spacing w:before="150" w:beforeLines="0" w:beforeAutospacing="0" w:after="302" w:afterLines="0" w:afterAutospacing="0" w:line="390" w:lineRule="atLeast"/>
              <w:rPr>
                <w:rFonts w:hint="eastAsia" w:ascii="宋体" w:hAnsi="宋体" w:eastAsia="宋体" w:cstheme="minorBidi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  <w:t xml:space="preserve">   9、讲解</w:t>
            </w: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lang w:val="en-US" w:eastAsia="zh-Hans" w:bidi="ar-SA"/>
              </w:rPr>
              <w:t>消防器材</w:t>
            </w:r>
            <w:r>
              <w:rPr>
                <w:rFonts w:hint="eastAsia" w:ascii="宋体" w:hAnsi="宋体" w:cstheme="minorBidi"/>
                <w:kern w:val="2"/>
                <w:sz w:val="24"/>
                <w:szCs w:val="24"/>
                <w:lang w:val="en-US" w:eastAsia="zh-CN" w:bidi="ar-SA"/>
              </w:rPr>
              <w:t>（灭火器）</w:t>
            </w: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lang w:val="en-US" w:eastAsia="zh-Hans" w:bidi="ar-SA"/>
              </w:rPr>
              <w:t>使用操作规程</w:t>
            </w:r>
          </w:p>
          <w:p w14:paraId="0A175ECB"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)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首先握住手柄，</w:t>
            </w:r>
            <w:r>
              <w:rPr>
                <w:rFonts w:ascii="宋体" w:hAnsi="宋体" w:eastAsia="宋体"/>
                <w:sz w:val="24"/>
                <w:szCs w:val="24"/>
                <w:lang w:eastAsia="zh-Hans"/>
              </w:rPr>
              <w:t>拔下保险销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。</w:t>
            </w:r>
          </w:p>
          <w:p w14:paraId="42FE5BBA">
            <w:pPr>
              <w:spacing w:line="360" w:lineRule="auto"/>
              <w:ind w:left="479" w:leftChars="228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)</w:t>
            </w:r>
            <w:r>
              <w:rPr>
                <w:rFonts w:ascii="宋体" w:hAnsi="宋体" w:eastAsia="宋体"/>
                <w:sz w:val="24"/>
                <w:szCs w:val="24"/>
                <w:lang w:eastAsia="zh-Hans"/>
              </w:rPr>
              <w:t>一只手握住喷嘴，另一只手紧握压把和提把，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对准火点，</w:t>
            </w:r>
            <w:r>
              <w:rPr>
                <w:rFonts w:ascii="宋体" w:hAnsi="宋体" w:eastAsia="宋体"/>
                <w:sz w:val="24"/>
                <w:szCs w:val="24"/>
                <w:lang w:eastAsia="zh-Hans"/>
              </w:rPr>
              <w:t>用力下压，干粉即喷出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，</w:t>
            </w:r>
            <w:r>
              <w:rPr>
                <w:rFonts w:ascii="宋体" w:hAnsi="宋体" w:eastAsia="宋体"/>
                <w:sz w:val="24"/>
                <w:szCs w:val="24"/>
                <w:lang w:eastAsia="zh-Hans"/>
              </w:rPr>
              <w:t>将喷嘴对准火焰的根部左右摆动。</w:t>
            </w:r>
          </w:p>
          <w:p w14:paraId="0D15233C"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)</w:t>
            </w:r>
            <w:r>
              <w:rPr>
                <w:rFonts w:ascii="宋体" w:hAnsi="宋体" w:eastAsia="宋体"/>
                <w:sz w:val="24"/>
                <w:szCs w:val="24"/>
                <w:lang w:eastAsia="zh-Hans"/>
              </w:rPr>
              <w:t>干粉灭火器在喷粉过程中要始终保持直立状态，不能横卧或颠倒使用。</w:t>
            </w:r>
          </w:p>
          <w:p w14:paraId="61935946"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)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保管灭火器时，每月一回倒置晃动灭火器，使其内部粉末均匀。</w:t>
            </w:r>
          </w:p>
          <w:p w14:paraId="542EAEAF"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)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要熟悉灭火器的保管场所。</w:t>
            </w:r>
          </w:p>
          <w:p w14:paraId="64401961">
            <w:pPr>
              <w:spacing w:line="360" w:lineRule="auto"/>
              <w:ind w:firstLine="240" w:firstLineChars="100"/>
              <w:rPr>
                <w:rFonts w:hint="default" w:ascii="宋体" w:hAnsi="宋体" w:eastAsia="宋体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highlight w:val="yellow"/>
                <w:lang w:val="en-US" w:eastAsia="zh-CN"/>
              </w:rPr>
              <w:t>10、本项目火灾应急预案、火灾报警流程、火警电话。</w:t>
            </w:r>
          </w:p>
          <w:p w14:paraId="119A1FB7">
            <w:pPr>
              <w:autoSpaceDN w:val="0"/>
              <w:snapToGrid w:val="0"/>
              <w:jc w:val="left"/>
              <w:textAlignment w:val="center"/>
              <w:rPr>
                <w:rFonts w:asciiTheme="minorEastAsia" w:hAnsiTheme="minorEastAsia" w:eastAsiaTheme="minorEastAsia"/>
              </w:rPr>
            </w:pPr>
          </w:p>
          <w:p w14:paraId="3D8DDDB9">
            <w:pPr>
              <w:spacing w:line="360" w:lineRule="auto"/>
              <w:rPr>
                <w:rFonts w:asciiTheme="minorEastAsia" w:hAnsiTheme="minorEastAsia" w:eastAsiaTheme="minorEastAsia"/>
              </w:rPr>
            </w:pPr>
          </w:p>
        </w:tc>
      </w:tr>
      <w:tr w14:paraId="0FC713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8" w:hRule="atLeast"/>
          <w:jc w:val="center"/>
        </w:trPr>
        <w:tc>
          <w:tcPr>
            <w:tcW w:w="8718" w:type="dxa"/>
            <w:gridSpan w:val="8"/>
            <w:vMerge w:val="continue"/>
            <w:vAlign w:val="center"/>
          </w:tcPr>
          <w:p w14:paraId="5FFF4DA2">
            <w:pPr>
              <w:autoSpaceDN w:val="0"/>
              <w:snapToGrid w:val="0"/>
              <w:rPr>
                <w:rFonts w:asciiTheme="minorEastAsia" w:hAnsiTheme="minorEastAsia" w:eastAsiaTheme="minorEastAsia"/>
              </w:rPr>
            </w:pPr>
          </w:p>
        </w:tc>
      </w:tr>
      <w:tr w14:paraId="0030B1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8" w:hRule="atLeast"/>
          <w:jc w:val="center"/>
        </w:trPr>
        <w:tc>
          <w:tcPr>
            <w:tcW w:w="8718" w:type="dxa"/>
            <w:gridSpan w:val="8"/>
            <w:vMerge w:val="continue"/>
            <w:vAlign w:val="center"/>
          </w:tcPr>
          <w:p w14:paraId="195CCFB3">
            <w:pPr>
              <w:autoSpaceDN w:val="0"/>
              <w:snapToGrid w:val="0"/>
              <w:rPr>
                <w:rFonts w:asciiTheme="minorEastAsia" w:hAnsiTheme="minorEastAsia" w:eastAsiaTheme="minorEastAsia"/>
              </w:rPr>
            </w:pPr>
          </w:p>
        </w:tc>
      </w:tr>
      <w:tr w14:paraId="0B43CB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8" w:hRule="atLeast"/>
          <w:jc w:val="center"/>
        </w:trPr>
        <w:tc>
          <w:tcPr>
            <w:tcW w:w="8718" w:type="dxa"/>
            <w:gridSpan w:val="8"/>
            <w:vMerge w:val="continue"/>
            <w:vAlign w:val="center"/>
          </w:tcPr>
          <w:p w14:paraId="23BA3151">
            <w:pPr>
              <w:autoSpaceDN w:val="0"/>
              <w:snapToGrid w:val="0"/>
              <w:rPr>
                <w:rFonts w:asciiTheme="minorEastAsia" w:hAnsiTheme="minorEastAsia" w:eastAsiaTheme="minorEastAsia"/>
              </w:rPr>
            </w:pPr>
          </w:p>
        </w:tc>
      </w:tr>
      <w:tr w14:paraId="31E615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4843" w:hRule="atLeast"/>
          <w:jc w:val="center"/>
        </w:trPr>
        <w:tc>
          <w:tcPr>
            <w:tcW w:w="8718" w:type="dxa"/>
            <w:gridSpan w:val="8"/>
            <w:vMerge w:val="continue"/>
            <w:vAlign w:val="center"/>
          </w:tcPr>
          <w:p w14:paraId="03233DC6">
            <w:pPr>
              <w:autoSpaceDN w:val="0"/>
              <w:snapToGrid w:val="0"/>
              <w:rPr>
                <w:rFonts w:asciiTheme="minorEastAsia" w:hAnsiTheme="minorEastAsia" w:eastAsiaTheme="minorEastAsia"/>
              </w:rPr>
            </w:pPr>
          </w:p>
        </w:tc>
      </w:tr>
      <w:tr w14:paraId="19465E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6" w:hRule="atLeast"/>
          <w:jc w:val="center"/>
        </w:trPr>
        <w:tc>
          <w:tcPr>
            <w:tcW w:w="8718" w:type="dxa"/>
            <w:gridSpan w:val="8"/>
            <w:shd w:val="solid" w:color="FFFFFF" w:fill="auto"/>
            <w:vAlign w:val="center"/>
          </w:tcPr>
          <w:p w14:paraId="4B7888A8"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参加培训教育人员（签名）</w:t>
            </w:r>
          </w:p>
        </w:tc>
      </w:tr>
      <w:tr w14:paraId="525B8D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2899" w:hRule="atLeast"/>
          <w:jc w:val="center"/>
        </w:trPr>
        <w:tc>
          <w:tcPr>
            <w:tcW w:w="8718" w:type="dxa"/>
            <w:gridSpan w:val="8"/>
            <w:vAlign w:val="center"/>
          </w:tcPr>
          <w:p w14:paraId="2886233D"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 w14:paraId="0FABE668">
            <w:pPr>
              <w:autoSpaceDN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/>
                <w:b/>
                <w:bCs/>
                <w:sz w:val="24"/>
                <w:szCs w:val="24"/>
                <w:highlight w:val="red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4"/>
                <w:highlight w:val="red"/>
                <w:lang w:eastAsia="zh-CN"/>
              </w:rPr>
              <w:t>全体管理人员、全体施工人员亲笔签字，严禁代签！</w:t>
            </w:r>
          </w:p>
          <w:p w14:paraId="5DD1040F"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 w14:paraId="0514CD03"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 w14:paraId="20FA332A"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 w14:paraId="31674DBD">
            <w:pPr>
              <w:autoSpaceDN w:val="0"/>
              <w:snapToGrid w:val="0"/>
              <w:jc w:val="both"/>
              <w:textAlignment w:val="center"/>
              <w:rPr>
                <w:rFonts w:hint="eastAsia" w:cs="宋体" w:asciiTheme="minorEastAsia" w:hAnsiTheme="minorEastAsia" w:eastAsiaTheme="minorEastAsia"/>
              </w:rPr>
            </w:pPr>
          </w:p>
          <w:p w14:paraId="12AE8CD2">
            <w:pPr>
              <w:autoSpaceDN w:val="0"/>
              <w:snapToGrid w:val="0"/>
              <w:jc w:val="right"/>
              <w:textAlignment w:val="center"/>
              <w:rPr>
                <w:rFonts w:hint="eastAsia" w:cs="宋体" w:asciiTheme="minorEastAsia" w:hAnsiTheme="minorEastAsia" w:eastAsiaTheme="minorEastAsia"/>
              </w:rPr>
            </w:pPr>
          </w:p>
          <w:p w14:paraId="0D334DEF">
            <w:pPr>
              <w:autoSpaceDN w:val="0"/>
              <w:snapToGrid w:val="0"/>
              <w:jc w:val="right"/>
              <w:textAlignment w:val="center"/>
              <w:rPr>
                <w:rFonts w:hint="eastAsia" w:cs="宋体" w:asciiTheme="minorEastAsia" w:hAnsiTheme="minorEastAsia" w:eastAsiaTheme="minorEastAsia"/>
              </w:rPr>
            </w:pPr>
          </w:p>
          <w:p w14:paraId="6432D6E2">
            <w:pPr>
              <w:autoSpaceDN w:val="0"/>
              <w:snapToGrid w:val="0"/>
              <w:jc w:val="right"/>
              <w:textAlignment w:val="center"/>
              <w:rPr>
                <w:rFonts w:hint="eastAsia" w:cs="宋体" w:asciiTheme="minorEastAsia" w:hAnsiTheme="minorEastAsia" w:eastAsiaTheme="minorEastAsia"/>
              </w:rPr>
            </w:pPr>
          </w:p>
          <w:p w14:paraId="7C4ADC33">
            <w:pPr>
              <w:autoSpaceDN w:val="0"/>
              <w:snapToGrid w:val="0"/>
              <w:jc w:val="right"/>
              <w:textAlignment w:val="center"/>
              <w:rPr>
                <w:rFonts w:cs="宋体" w:asciiTheme="minorEastAsia" w:hAnsiTheme="minorEastAsia" w:eastAsiaTheme="minorEastAsia"/>
              </w:rPr>
            </w:pPr>
            <w:r>
              <w:rPr>
                <w:rFonts w:hint="eastAsia" w:cs="宋体" w:asciiTheme="minorEastAsia" w:hAnsiTheme="minorEastAsia" w:eastAsiaTheme="minorEastAsia"/>
              </w:rPr>
              <w:t xml:space="preserve"> 年    月    日</w:t>
            </w:r>
          </w:p>
        </w:tc>
      </w:tr>
    </w:tbl>
    <w:p w14:paraId="5E1A7A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521823"/>
    <w:rsid w:val="21C8265C"/>
    <w:rsid w:val="26521823"/>
    <w:rsid w:val="5362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eastAsia="宋体" w:cs="Arial"/>
      <w:kern w:val="0"/>
      <w:sz w:val="24"/>
      <w:szCs w:val="24"/>
    </w:rPr>
  </w:style>
  <w:style w:type="paragraph" w:styleId="3">
    <w:name w:val="Normal (Web)"/>
    <w:basedOn w:val="1"/>
    <w:unhideWhenUsed/>
    <w:qFormat/>
    <w:uiPriority w:val="99"/>
    <w:pPr>
      <w:spacing w:before="100" w:beforeLines="0" w:beforeAutospacing="1" w:after="100" w:afterLines="0" w:afterAutospacing="1"/>
      <w:jc w:val="left"/>
    </w:pPr>
    <w:rPr>
      <w:rFonts w:hint="default"/>
      <w:kern w:val="0"/>
      <w:sz w:val="24"/>
      <w:lang w:val="en-US" w:eastAsia="zh-CN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909</Words>
  <Characters>928</Characters>
  <Lines>0</Lines>
  <Paragraphs>0</Paragraphs>
  <TotalTime>9</TotalTime>
  <ScaleCrop>false</ScaleCrop>
  <LinksUpToDate>false</LinksUpToDate>
  <CharactersWithSpaces>950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2020-09-09T00:40:00Z</dcterms:created>
  <dc:creator>Administrator</dc:creator>
  <cp:lastModifiedBy>呮許伱の承諾</cp:lastModifiedBy>
  <dcterms:modified xsi:type="dcterms:W3CDTF">2025-02-13T02:12:26Z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eyJoZGlkIjoiNjg1ZGYzODhiNGVmYWY1ZjdjZTJiZjExZjFiZjY3YzEiLCJ1c2VySWQiOiI2MzcwNDkyNTMifQ==</vt:lpwstr>
  </property>
  <property fmtid="{D5CDD505-2E9C-101B-9397-08002B2CF9AE}" pid="4" name="ICV">
    <vt:lpwstr>742FB0C4B6A547DBAD668913FB0477D1_12</vt:lpwstr>
  </property>
</Properties>
</file>