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280B7">
      <w:pPr>
        <w:pStyle w:val="4"/>
        <w:spacing w:before="100" w:beforeAutospacing="1" w:after="100" w:afterAutospacing="1"/>
        <w:ind w:left="1595" w:leftChars="725" w:firstLine="0" w:firstLineChars="0"/>
        <w:rPr>
          <w:lang w:eastAsia="zh-CN"/>
        </w:rPr>
      </w:pPr>
      <w:r>
        <w:rPr>
          <w:rFonts w:hint="eastAsia"/>
          <w:w w:val="95"/>
          <w:lang w:val="en-US" w:eastAsia="zh-CN"/>
        </w:rPr>
        <w:t xml:space="preserve">       </w:t>
      </w:r>
      <w:r>
        <w:rPr>
          <w:w w:val="95"/>
          <w:lang w:eastAsia="zh-CN"/>
        </w:rPr>
        <w:t>施工机械检查验收表</w:t>
      </w:r>
      <w:bookmarkStart w:id="0" w:name="_GoBack"/>
      <w:bookmarkEnd w:id="0"/>
      <w:r>
        <w:rPr>
          <w:w w:val="95"/>
          <w:lang w:eastAsia="zh-CN"/>
        </w:rPr>
        <w:t>吊)</w:t>
      </w:r>
    </w:p>
    <w:p w14:paraId="6B80D06F">
      <w:pPr>
        <w:rPr>
          <w:lang w:eastAsia="zh-CN"/>
        </w:rPr>
        <w:sectPr>
          <w:pgSz w:w="11910" w:h="16850"/>
          <w:pgMar w:top="1400" w:right="580" w:bottom="1600" w:left="600" w:header="0" w:footer="753" w:gutter="0"/>
          <w:cols w:equalWidth="0" w:num="2">
            <w:col w:w="1767" w:space="824"/>
            <w:col w:w="8139"/>
          </w:cols>
        </w:sectPr>
      </w:pP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220"/>
        <w:gridCol w:w="2262"/>
        <w:gridCol w:w="2087"/>
        <w:gridCol w:w="2128"/>
      </w:tblGrid>
      <w:tr w14:paraId="442D5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jc w:val="center"/>
        </w:trPr>
        <w:tc>
          <w:tcPr>
            <w:tcW w:w="1902" w:type="dxa"/>
            <w:gridSpan w:val="2"/>
          </w:tcPr>
          <w:p w14:paraId="47C91800">
            <w:pPr>
              <w:pStyle w:val="11"/>
              <w:spacing w:before="174"/>
              <w:ind w:left="530"/>
              <w:rPr>
                <w:sz w:val="21"/>
              </w:rPr>
            </w:pPr>
            <w:r>
              <w:rPr>
                <w:sz w:val="21"/>
              </w:rPr>
              <w:t>工程名称</w:t>
            </w:r>
          </w:p>
        </w:tc>
        <w:tc>
          <w:tcPr>
            <w:tcW w:w="2262" w:type="dxa"/>
          </w:tcPr>
          <w:p w14:paraId="08AAA49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087" w:type="dxa"/>
          </w:tcPr>
          <w:p w14:paraId="15785673">
            <w:pPr>
              <w:pStyle w:val="11"/>
              <w:spacing w:before="174"/>
              <w:ind w:right="615"/>
              <w:jc w:val="right"/>
              <w:rPr>
                <w:sz w:val="21"/>
              </w:rPr>
            </w:pPr>
            <w:r>
              <w:rPr>
                <w:sz w:val="21"/>
              </w:rPr>
              <w:t>设备型号</w:t>
            </w:r>
          </w:p>
        </w:tc>
        <w:tc>
          <w:tcPr>
            <w:tcW w:w="2128" w:type="dxa"/>
          </w:tcPr>
          <w:p w14:paraId="44993259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53D54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jc w:val="center"/>
        </w:trPr>
        <w:tc>
          <w:tcPr>
            <w:tcW w:w="1902" w:type="dxa"/>
            <w:gridSpan w:val="2"/>
          </w:tcPr>
          <w:p w14:paraId="1BB5327A">
            <w:pPr>
              <w:pStyle w:val="11"/>
              <w:spacing w:before="140"/>
              <w:ind w:left="530"/>
              <w:rPr>
                <w:sz w:val="21"/>
              </w:rPr>
            </w:pPr>
            <w:r>
              <w:rPr>
                <w:sz w:val="21"/>
              </w:rPr>
              <w:t>总包单位</w:t>
            </w:r>
          </w:p>
        </w:tc>
        <w:tc>
          <w:tcPr>
            <w:tcW w:w="2262" w:type="dxa"/>
          </w:tcPr>
          <w:p w14:paraId="115E33A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087" w:type="dxa"/>
          </w:tcPr>
          <w:p w14:paraId="65F09CDB">
            <w:pPr>
              <w:pStyle w:val="11"/>
              <w:spacing w:before="140"/>
              <w:ind w:right="615"/>
              <w:jc w:val="right"/>
              <w:rPr>
                <w:sz w:val="21"/>
              </w:rPr>
            </w:pPr>
            <w:r>
              <w:rPr>
                <w:sz w:val="21"/>
              </w:rPr>
              <w:t>分包单位</w:t>
            </w:r>
          </w:p>
        </w:tc>
        <w:tc>
          <w:tcPr>
            <w:tcW w:w="2128" w:type="dxa"/>
          </w:tcPr>
          <w:p w14:paraId="5ABE5BD1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3D32B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  <w:jc w:val="center"/>
        </w:trPr>
        <w:tc>
          <w:tcPr>
            <w:tcW w:w="1902" w:type="dxa"/>
            <w:gridSpan w:val="2"/>
          </w:tcPr>
          <w:p w14:paraId="3921E182">
            <w:pPr>
              <w:pStyle w:val="11"/>
              <w:spacing w:before="150"/>
              <w:ind w:left="530"/>
              <w:rPr>
                <w:sz w:val="21"/>
              </w:rPr>
            </w:pPr>
            <w:r>
              <w:rPr>
                <w:sz w:val="21"/>
              </w:rPr>
              <w:t>租赁单位</w:t>
            </w:r>
          </w:p>
        </w:tc>
        <w:tc>
          <w:tcPr>
            <w:tcW w:w="2262" w:type="dxa"/>
          </w:tcPr>
          <w:p w14:paraId="63D51C8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087" w:type="dxa"/>
          </w:tcPr>
          <w:p w14:paraId="01B555BF">
            <w:pPr>
              <w:pStyle w:val="11"/>
              <w:spacing w:before="150"/>
              <w:ind w:right="615"/>
              <w:jc w:val="right"/>
              <w:rPr>
                <w:sz w:val="21"/>
              </w:rPr>
            </w:pPr>
            <w:r>
              <w:rPr>
                <w:sz w:val="21"/>
              </w:rPr>
              <w:t>验收日期</w:t>
            </w:r>
          </w:p>
        </w:tc>
        <w:tc>
          <w:tcPr>
            <w:tcW w:w="2128" w:type="dxa"/>
          </w:tcPr>
          <w:p w14:paraId="24A731EB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AE26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682" w:type="dxa"/>
          </w:tcPr>
          <w:p w14:paraId="5E22C43D">
            <w:pPr>
              <w:pStyle w:val="11"/>
              <w:spacing w:before="145"/>
              <w:ind w:left="127"/>
              <w:rPr>
                <w:b/>
                <w:sz w:val="21"/>
              </w:rPr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w="1220" w:type="dxa"/>
          </w:tcPr>
          <w:p w14:paraId="76CF39F0">
            <w:pPr>
              <w:pStyle w:val="11"/>
              <w:spacing w:before="145"/>
              <w:ind w:left="184"/>
              <w:rPr>
                <w:b/>
                <w:sz w:val="21"/>
              </w:rPr>
            </w:pPr>
            <w:r>
              <w:rPr>
                <w:b/>
                <w:sz w:val="21"/>
              </w:rPr>
              <w:t>检查项目</w:t>
            </w:r>
          </w:p>
        </w:tc>
        <w:tc>
          <w:tcPr>
            <w:tcW w:w="4349" w:type="dxa"/>
            <w:gridSpan w:val="2"/>
          </w:tcPr>
          <w:p w14:paraId="06EEADF8">
            <w:pPr>
              <w:pStyle w:val="11"/>
              <w:spacing w:before="145"/>
              <w:ind w:left="1731" w:right="1723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验收内容</w:t>
            </w:r>
          </w:p>
        </w:tc>
        <w:tc>
          <w:tcPr>
            <w:tcW w:w="2128" w:type="dxa"/>
          </w:tcPr>
          <w:p w14:paraId="0D94A74A">
            <w:pPr>
              <w:pStyle w:val="11"/>
              <w:spacing w:before="145"/>
              <w:ind w:left="637"/>
              <w:rPr>
                <w:b/>
                <w:sz w:val="21"/>
              </w:rPr>
            </w:pPr>
            <w:r>
              <w:rPr>
                <w:b/>
                <w:sz w:val="21"/>
              </w:rPr>
              <w:t>验收结果</w:t>
            </w:r>
          </w:p>
        </w:tc>
      </w:tr>
      <w:tr w14:paraId="00E82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682" w:type="dxa"/>
            <w:vMerge w:val="restart"/>
          </w:tcPr>
          <w:p w14:paraId="7B334DCF">
            <w:pPr>
              <w:pStyle w:val="11"/>
              <w:rPr>
                <w:rFonts w:ascii="黑体"/>
                <w:b/>
                <w:sz w:val="20"/>
              </w:rPr>
            </w:pPr>
          </w:p>
          <w:p w14:paraId="7A3CF316">
            <w:pPr>
              <w:pStyle w:val="11"/>
              <w:rPr>
                <w:rFonts w:ascii="黑体"/>
                <w:b/>
                <w:sz w:val="20"/>
              </w:rPr>
            </w:pPr>
          </w:p>
          <w:p w14:paraId="0F467A9F">
            <w:pPr>
              <w:pStyle w:val="11"/>
              <w:rPr>
                <w:rFonts w:ascii="黑体"/>
                <w:b/>
                <w:sz w:val="20"/>
              </w:rPr>
            </w:pPr>
          </w:p>
          <w:p w14:paraId="1DDAE155">
            <w:pPr>
              <w:pStyle w:val="11"/>
              <w:rPr>
                <w:rFonts w:ascii="黑体"/>
                <w:b/>
                <w:sz w:val="20"/>
              </w:rPr>
            </w:pPr>
          </w:p>
          <w:p w14:paraId="71033CDD">
            <w:pPr>
              <w:pStyle w:val="11"/>
              <w:rPr>
                <w:rFonts w:ascii="黑体"/>
                <w:b/>
                <w:sz w:val="25"/>
              </w:rPr>
            </w:pPr>
          </w:p>
          <w:p w14:paraId="2442D2F6">
            <w:pPr>
              <w:pStyle w:val="1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W w:w="1220" w:type="dxa"/>
            <w:vMerge w:val="restart"/>
          </w:tcPr>
          <w:p w14:paraId="32A3F7C4">
            <w:pPr>
              <w:pStyle w:val="11"/>
              <w:rPr>
                <w:rFonts w:ascii="黑体"/>
                <w:b/>
                <w:sz w:val="20"/>
              </w:rPr>
            </w:pPr>
          </w:p>
          <w:p w14:paraId="5764F038">
            <w:pPr>
              <w:pStyle w:val="11"/>
              <w:rPr>
                <w:rFonts w:ascii="黑体"/>
                <w:b/>
                <w:sz w:val="20"/>
              </w:rPr>
            </w:pPr>
          </w:p>
          <w:p w14:paraId="56608243">
            <w:pPr>
              <w:pStyle w:val="11"/>
              <w:rPr>
                <w:rFonts w:ascii="黑体"/>
                <w:b/>
                <w:sz w:val="20"/>
              </w:rPr>
            </w:pPr>
          </w:p>
          <w:p w14:paraId="4F723016">
            <w:pPr>
              <w:pStyle w:val="11"/>
              <w:rPr>
                <w:rFonts w:ascii="黑体"/>
                <w:b/>
                <w:sz w:val="20"/>
              </w:rPr>
            </w:pPr>
          </w:p>
          <w:p w14:paraId="6AAB9D79">
            <w:pPr>
              <w:pStyle w:val="11"/>
              <w:rPr>
                <w:rFonts w:ascii="黑体"/>
                <w:b/>
                <w:sz w:val="25"/>
              </w:rPr>
            </w:pPr>
          </w:p>
          <w:p w14:paraId="54C510DC">
            <w:pPr>
              <w:pStyle w:val="11"/>
              <w:ind w:left="186"/>
              <w:rPr>
                <w:sz w:val="21"/>
              </w:rPr>
            </w:pPr>
            <w:r>
              <w:rPr>
                <w:sz w:val="21"/>
              </w:rPr>
              <w:t>外观验收</w:t>
            </w:r>
          </w:p>
        </w:tc>
        <w:tc>
          <w:tcPr>
            <w:tcW w:w="4349" w:type="dxa"/>
            <w:gridSpan w:val="2"/>
          </w:tcPr>
          <w:p w14:paraId="2724A2F6">
            <w:pPr>
              <w:pStyle w:val="11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灯光正常</w:t>
            </w:r>
          </w:p>
        </w:tc>
        <w:tc>
          <w:tcPr>
            <w:tcW w:w="2128" w:type="dxa"/>
          </w:tcPr>
          <w:p w14:paraId="438C8571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36CB7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64C2BFA7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1E3F49CE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7CFF247F">
            <w:pPr>
              <w:pStyle w:val="11"/>
              <w:spacing w:before="69"/>
              <w:ind w:left="107"/>
              <w:rPr>
                <w:sz w:val="21"/>
              </w:rPr>
            </w:pPr>
            <w:r>
              <w:rPr>
                <w:sz w:val="21"/>
              </w:rPr>
              <w:t>仪表正常,齐全有效</w:t>
            </w:r>
          </w:p>
        </w:tc>
        <w:tc>
          <w:tcPr>
            <w:tcW w:w="2128" w:type="dxa"/>
          </w:tcPr>
          <w:p w14:paraId="632812F9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76A22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4CCC1397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4C186BBC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5FE9EA01">
            <w:pPr>
              <w:pStyle w:val="11"/>
              <w:spacing w:before="78"/>
              <w:ind w:left="107"/>
              <w:rPr>
                <w:sz w:val="21"/>
              </w:rPr>
            </w:pPr>
            <w:r>
              <w:rPr>
                <w:sz w:val="21"/>
              </w:rPr>
              <w:t>轮胎螺丝紧固无缺少</w:t>
            </w:r>
          </w:p>
        </w:tc>
        <w:tc>
          <w:tcPr>
            <w:tcW w:w="2128" w:type="dxa"/>
          </w:tcPr>
          <w:p w14:paraId="2BC318FB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249CF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46FB6A77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36302455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6FEEA732">
            <w:pPr>
              <w:pStyle w:val="11"/>
              <w:spacing w:before="73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传动轴螺丝紧固无缺少</w:t>
            </w:r>
          </w:p>
        </w:tc>
        <w:tc>
          <w:tcPr>
            <w:tcW w:w="2128" w:type="dxa"/>
          </w:tcPr>
          <w:p w14:paraId="31910C98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03B87A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35DE7789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329C9677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49" w:type="dxa"/>
            <w:gridSpan w:val="2"/>
          </w:tcPr>
          <w:p w14:paraId="3C4528F3">
            <w:pPr>
              <w:pStyle w:val="11"/>
              <w:spacing w:before="70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方向机横竖拉杆无松动</w:t>
            </w:r>
          </w:p>
        </w:tc>
        <w:tc>
          <w:tcPr>
            <w:tcW w:w="2128" w:type="dxa"/>
          </w:tcPr>
          <w:p w14:paraId="4440C453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6F274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572DF1CC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18A2131A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49" w:type="dxa"/>
            <w:gridSpan w:val="2"/>
          </w:tcPr>
          <w:p w14:paraId="1CC386D1">
            <w:pPr>
              <w:pStyle w:val="11"/>
              <w:spacing w:before="73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无任何部位的漏油、漏气、漏水</w:t>
            </w:r>
          </w:p>
        </w:tc>
        <w:tc>
          <w:tcPr>
            <w:tcW w:w="2128" w:type="dxa"/>
          </w:tcPr>
          <w:p w14:paraId="1417C683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4615A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50DFEDDD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39B51851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49" w:type="dxa"/>
            <w:gridSpan w:val="2"/>
          </w:tcPr>
          <w:p w14:paraId="7372BDE1">
            <w:pPr>
              <w:pStyle w:val="11"/>
              <w:spacing w:before="75"/>
              <w:ind w:left="107"/>
              <w:rPr>
                <w:sz w:val="21"/>
              </w:rPr>
            </w:pPr>
            <w:r>
              <w:rPr>
                <w:sz w:val="21"/>
              </w:rPr>
              <w:t>全车各部位无变形</w:t>
            </w:r>
          </w:p>
        </w:tc>
        <w:tc>
          <w:tcPr>
            <w:tcW w:w="2128" w:type="dxa"/>
          </w:tcPr>
          <w:p w14:paraId="13EB5481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4D246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682" w:type="dxa"/>
            <w:vMerge w:val="restart"/>
          </w:tcPr>
          <w:p w14:paraId="475ECD1E">
            <w:pPr>
              <w:pStyle w:val="11"/>
              <w:rPr>
                <w:rFonts w:ascii="黑体"/>
                <w:b/>
                <w:sz w:val="20"/>
              </w:rPr>
            </w:pPr>
          </w:p>
          <w:p w14:paraId="1AEFD08B">
            <w:pPr>
              <w:pStyle w:val="11"/>
              <w:rPr>
                <w:rFonts w:ascii="黑体"/>
                <w:b/>
                <w:sz w:val="20"/>
              </w:rPr>
            </w:pPr>
          </w:p>
          <w:p w14:paraId="7D201366">
            <w:pPr>
              <w:pStyle w:val="11"/>
              <w:rPr>
                <w:rFonts w:ascii="黑体"/>
                <w:b/>
                <w:sz w:val="20"/>
              </w:rPr>
            </w:pPr>
          </w:p>
          <w:p w14:paraId="52952504">
            <w:pPr>
              <w:pStyle w:val="11"/>
              <w:rPr>
                <w:rFonts w:ascii="黑体"/>
                <w:b/>
                <w:sz w:val="20"/>
              </w:rPr>
            </w:pPr>
          </w:p>
          <w:p w14:paraId="3EB9F91F">
            <w:pPr>
              <w:pStyle w:val="11"/>
              <w:rPr>
                <w:rFonts w:ascii="黑体"/>
                <w:b/>
                <w:sz w:val="20"/>
              </w:rPr>
            </w:pPr>
          </w:p>
          <w:p w14:paraId="7F96FEF6">
            <w:pPr>
              <w:pStyle w:val="11"/>
              <w:spacing w:before="8"/>
              <w:rPr>
                <w:rFonts w:ascii="黑体"/>
                <w:b/>
                <w:sz w:val="21"/>
              </w:rPr>
            </w:pPr>
          </w:p>
          <w:p w14:paraId="5EC0285D">
            <w:pPr>
              <w:pStyle w:val="1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W w:w="1220" w:type="dxa"/>
            <w:vMerge w:val="restart"/>
          </w:tcPr>
          <w:p w14:paraId="0CD96183">
            <w:pPr>
              <w:pStyle w:val="11"/>
              <w:rPr>
                <w:rFonts w:ascii="黑体"/>
                <w:b/>
                <w:sz w:val="20"/>
              </w:rPr>
            </w:pPr>
          </w:p>
          <w:p w14:paraId="0A7E9D62">
            <w:pPr>
              <w:pStyle w:val="11"/>
              <w:rPr>
                <w:rFonts w:ascii="黑体"/>
                <w:b/>
                <w:sz w:val="20"/>
              </w:rPr>
            </w:pPr>
          </w:p>
          <w:p w14:paraId="36687452">
            <w:pPr>
              <w:pStyle w:val="11"/>
              <w:rPr>
                <w:rFonts w:ascii="黑体"/>
                <w:b/>
                <w:sz w:val="20"/>
              </w:rPr>
            </w:pPr>
          </w:p>
          <w:p w14:paraId="60433EB6">
            <w:pPr>
              <w:pStyle w:val="11"/>
              <w:rPr>
                <w:rFonts w:ascii="黑体"/>
                <w:b/>
                <w:sz w:val="20"/>
              </w:rPr>
            </w:pPr>
          </w:p>
          <w:p w14:paraId="0EC9AC8E">
            <w:pPr>
              <w:pStyle w:val="11"/>
              <w:rPr>
                <w:rFonts w:ascii="黑体"/>
                <w:b/>
                <w:sz w:val="20"/>
              </w:rPr>
            </w:pPr>
          </w:p>
          <w:p w14:paraId="69ED6E4B">
            <w:pPr>
              <w:pStyle w:val="11"/>
              <w:spacing w:before="141" w:line="242" w:lineRule="auto"/>
              <w:ind w:left="289" w:right="179" w:hanging="104"/>
              <w:rPr>
                <w:sz w:val="21"/>
              </w:rPr>
            </w:pPr>
            <w:r>
              <w:rPr>
                <w:spacing w:val="-1"/>
                <w:sz w:val="21"/>
              </w:rPr>
              <w:t>检查各油</w:t>
            </w:r>
            <w:r>
              <w:rPr>
                <w:sz w:val="21"/>
              </w:rPr>
              <w:t>位水位</w:t>
            </w:r>
          </w:p>
        </w:tc>
        <w:tc>
          <w:tcPr>
            <w:tcW w:w="4349" w:type="dxa"/>
            <w:gridSpan w:val="2"/>
          </w:tcPr>
          <w:p w14:paraId="54AD219D">
            <w:pPr>
              <w:pStyle w:val="11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水箱水位正常</w:t>
            </w:r>
          </w:p>
        </w:tc>
        <w:tc>
          <w:tcPr>
            <w:tcW w:w="2128" w:type="dxa"/>
          </w:tcPr>
          <w:p w14:paraId="10EF733B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AF31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08978497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37C65AC4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4F94D6BC">
            <w:pPr>
              <w:pStyle w:val="11"/>
              <w:spacing w:before="75"/>
              <w:ind w:left="107"/>
              <w:rPr>
                <w:sz w:val="21"/>
              </w:rPr>
            </w:pPr>
            <w:r>
              <w:rPr>
                <w:sz w:val="21"/>
              </w:rPr>
              <w:t>机油油位正常</w:t>
            </w:r>
          </w:p>
        </w:tc>
        <w:tc>
          <w:tcPr>
            <w:tcW w:w="2128" w:type="dxa"/>
          </w:tcPr>
          <w:p w14:paraId="1BFED9B8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289AAC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7BFE83DD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6E15A2AE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4F0ECE8B">
            <w:pPr>
              <w:pStyle w:val="11"/>
              <w:spacing w:before="71"/>
              <w:ind w:left="107"/>
              <w:rPr>
                <w:sz w:val="21"/>
              </w:rPr>
            </w:pPr>
            <w:r>
              <w:rPr>
                <w:sz w:val="21"/>
              </w:rPr>
              <w:t>方向机油油位正常</w:t>
            </w:r>
          </w:p>
        </w:tc>
        <w:tc>
          <w:tcPr>
            <w:tcW w:w="2128" w:type="dxa"/>
          </w:tcPr>
          <w:p w14:paraId="0616828A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4E47D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50C60505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57BB7C6A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4EA0C20D">
            <w:pPr>
              <w:pStyle w:val="11"/>
              <w:spacing w:before="73"/>
              <w:ind w:left="107"/>
              <w:rPr>
                <w:sz w:val="21"/>
              </w:rPr>
            </w:pPr>
            <w:r>
              <w:rPr>
                <w:sz w:val="21"/>
              </w:rPr>
              <w:t>刹车制动油正常</w:t>
            </w:r>
          </w:p>
        </w:tc>
        <w:tc>
          <w:tcPr>
            <w:tcW w:w="2128" w:type="dxa"/>
          </w:tcPr>
          <w:p w14:paraId="08415ADF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374F5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34275C4F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650D035C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3F46D742">
            <w:pPr>
              <w:pStyle w:val="11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变速箱油位正常</w:t>
            </w:r>
          </w:p>
        </w:tc>
        <w:tc>
          <w:tcPr>
            <w:tcW w:w="2128" w:type="dxa"/>
          </w:tcPr>
          <w:p w14:paraId="1BBCDBF7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0FFA3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79A9756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7508E832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71C0BDF9">
            <w:pPr>
              <w:pStyle w:val="11"/>
              <w:spacing w:before="73"/>
              <w:ind w:left="107"/>
              <w:rPr>
                <w:sz w:val="21"/>
              </w:rPr>
            </w:pPr>
            <w:r>
              <w:rPr>
                <w:sz w:val="21"/>
              </w:rPr>
              <w:t>液压油位正常</w:t>
            </w:r>
          </w:p>
        </w:tc>
        <w:tc>
          <w:tcPr>
            <w:tcW w:w="2128" w:type="dxa"/>
          </w:tcPr>
          <w:p w14:paraId="0A44E462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5596D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0E4ABE7E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647A9434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4D948414">
            <w:pPr>
              <w:pStyle w:val="11"/>
              <w:spacing w:before="75"/>
              <w:ind w:left="107"/>
              <w:rPr>
                <w:sz w:val="21"/>
              </w:rPr>
            </w:pPr>
            <w:r>
              <w:rPr>
                <w:sz w:val="21"/>
              </w:rPr>
              <w:t>各齿轮油位正常</w:t>
            </w:r>
          </w:p>
        </w:tc>
        <w:tc>
          <w:tcPr>
            <w:tcW w:w="2128" w:type="dxa"/>
          </w:tcPr>
          <w:p w14:paraId="559BD067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59480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15D4B944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1CD41E0D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1091A2FB">
            <w:pPr>
              <w:pStyle w:val="11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电瓶水位正常</w:t>
            </w:r>
          </w:p>
        </w:tc>
        <w:tc>
          <w:tcPr>
            <w:tcW w:w="2128" w:type="dxa"/>
          </w:tcPr>
          <w:p w14:paraId="3E262AE2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79C32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  <w:jc w:val="center"/>
        </w:trPr>
        <w:tc>
          <w:tcPr>
            <w:tcW w:w="682" w:type="dxa"/>
            <w:vMerge w:val="restart"/>
          </w:tcPr>
          <w:p w14:paraId="3B350E3D">
            <w:pPr>
              <w:pStyle w:val="11"/>
              <w:rPr>
                <w:rFonts w:ascii="黑体"/>
                <w:b/>
                <w:sz w:val="20"/>
              </w:rPr>
            </w:pPr>
          </w:p>
          <w:p w14:paraId="7D700981">
            <w:pPr>
              <w:pStyle w:val="11"/>
              <w:rPr>
                <w:rFonts w:ascii="黑体"/>
                <w:b/>
                <w:sz w:val="20"/>
              </w:rPr>
            </w:pPr>
          </w:p>
          <w:p w14:paraId="4E29A7C7">
            <w:pPr>
              <w:pStyle w:val="11"/>
              <w:spacing w:before="9"/>
              <w:rPr>
                <w:rFonts w:ascii="黑体"/>
                <w:b/>
                <w:sz w:val="15"/>
              </w:rPr>
            </w:pPr>
          </w:p>
          <w:p w14:paraId="2F165855">
            <w:pPr>
              <w:pStyle w:val="1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W w:w="1220" w:type="dxa"/>
            <w:vMerge w:val="restart"/>
          </w:tcPr>
          <w:p w14:paraId="074782F5">
            <w:pPr>
              <w:pStyle w:val="11"/>
              <w:rPr>
                <w:rFonts w:ascii="黑体"/>
                <w:b/>
                <w:sz w:val="20"/>
              </w:rPr>
            </w:pPr>
          </w:p>
          <w:p w14:paraId="5D77AED1">
            <w:pPr>
              <w:pStyle w:val="11"/>
              <w:rPr>
                <w:rFonts w:ascii="黑体"/>
                <w:b/>
                <w:sz w:val="25"/>
              </w:rPr>
            </w:pPr>
          </w:p>
          <w:p w14:paraId="537A8282">
            <w:pPr>
              <w:pStyle w:val="11"/>
              <w:spacing w:line="244" w:lineRule="auto"/>
              <w:ind w:left="395" w:right="284" w:hanging="106"/>
              <w:rPr>
                <w:sz w:val="21"/>
              </w:rPr>
            </w:pPr>
            <w:r>
              <w:rPr>
                <w:sz w:val="21"/>
              </w:rPr>
              <w:t>发动机部分</w:t>
            </w:r>
          </w:p>
        </w:tc>
        <w:tc>
          <w:tcPr>
            <w:tcW w:w="4349" w:type="dxa"/>
            <w:gridSpan w:val="2"/>
          </w:tcPr>
          <w:p w14:paraId="1DED955D">
            <w:pPr>
              <w:pStyle w:val="11"/>
              <w:spacing w:before="73"/>
              <w:ind w:left="107"/>
              <w:rPr>
                <w:sz w:val="21"/>
                <w:lang w:eastAsia="zh-CN"/>
              </w:rPr>
            </w:pPr>
            <w:r>
              <w:rPr>
                <w:spacing w:val="-6"/>
                <w:sz w:val="21"/>
                <w:lang w:eastAsia="zh-CN"/>
              </w:rPr>
              <w:t xml:space="preserve">机油压力怠速时不少于 </w:t>
            </w:r>
            <w:r>
              <w:rPr>
                <w:sz w:val="21"/>
                <w:lang w:eastAsia="zh-CN"/>
              </w:rPr>
              <w:t>0.15MPa</w:t>
            </w:r>
          </w:p>
        </w:tc>
        <w:tc>
          <w:tcPr>
            <w:tcW w:w="2128" w:type="dxa"/>
          </w:tcPr>
          <w:p w14:paraId="3E87C5FC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0037E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4FA39FF7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533C9D92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49" w:type="dxa"/>
            <w:gridSpan w:val="2"/>
          </w:tcPr>
          <w:p w14:paraId="5775D7E2">
            <w:pPr>
              <w:pStyle w:val="11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水温正常</w:t>
            </w:r>
          </w:p>
        </w:tc>
        <w:tc>
          <w:tcPr>
            <w:tcW w:w="2128" w:type="dxa"/>
          </w:tcPr>
          <w:p w14:paraId="5EE7DDE1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55B47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7B8C7D21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57A95FE9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17D15EB7">
            <w:pPr>
              <w:pStyle w:val="11"/>
              <w:spacing w:before="73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发动机运转正常无异响</w:t>
            </w:r>
          </w:p>
        </w:tc>
        <w:tc>
          <w:tcPr>
            <w:tcW w:w="2128" w:type="dxa"/>
          </w:tcPr>
          <w:p w14:paraId="562B49A0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6225B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06B99FE2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1A375B53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49" w:type="dxa"/>
            <w:gridSpan w:val="2"/>
          </w:tcPr>
          <w:p w14:paraId="58B737CC">
            <w:pPr>
              <w:pStyle w:val="11"/>
              <w:spacing w:before="75"/>
              <w:ind w:left="107"/>
              <w:rPr>
                <w:sz w:val="21"/>
              </w:rPr>
            </w:pPr>
            <w:r>
              <w:rPr>
                <w:sz w:val="21"/>
              </w:rPr>
              <w:t>各附属机构齐全正常</w:t>
            </w:r>
          </w:p>
        </w:tc>
        <w:tc>
          <w:tcPr>
            <w:tcW w:w="2128" w:type="dxa"/>
          </w:tcPr>
          <w:p w14:paraId="07E4733E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058D3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  <w:jc w:val="center"/>
        </w:trPr>
        <w:tc>
          <w:tcPr>
            <w:tcW w:w="682" w:type="dxa"/>
            <w:vMerge w:val="restart"/>
          </w:tcPr>
          <w:p w14:paraId="5B939EBC">
            <w:pPr>
              <w:pStyle w:val="11"/>
              <w:rPr>
                <w:rFonts w:ascii="黑体"/>
                <w:b/>
                <w:sz w:val="20"/>
              </w:rPr>
            </w:pPr>
          </w:p>
          <w:p w14:paraId="493D779A">
            <w:pPr>
              <w:pStyle w:val="11"/>
              <w:rPr>
                <w:rFonts w:ascii="黑体"/>
                <w:b/>
                <w:sz w:val="20"/>
              </w:rPr>
            </w:pPr>
          </w:p>
          <w:p w14:paraId="56221899">
            <w:pPr>
              <w:pStyle w:val="11"/>
              <w:rPr>
                <w:rFonts w:ascii="黑体"/>
                <w:b/>
                <w:sz w:val="20"/>
              </w:rPr>
            </w:pPr>
          </w:p>
          <w:p w14:paraId="7516949F">
            <w:pPr>
              <w:pStyle w:val="11"/>
              <w:spacing w:before="1"/>
              <w:rPr>
                <w:rFonts w:ascii="黑体"/>
                <w:b/>
                <w:sz w:val="28"/>
              </w:rPr>
            </w:pPr>
          </w:p>
          <w:p w14:paraId="7E509F4E">
            <w:pPr>
              <w:pStyle w:val="1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W w:w="1220" w:type="dxa"/>
            <w:vMerge w:val="restart"/>
          </w:tcPr>
          <w:p w14:paraId="75FC63CD">
            <w:pPr>
              <w:pStyle w:val="11"/>
              <w:rPr>
                <w:rFonts w:ascii="黑体"/>
                <w:b/>
                <w:sz w:val="20"/>
              </w:rPr>
            </w:pPr>
          </w:p>
          <w:p w14:paraId="6E8DA209">
            <w:pPr>
              <w:pStyle w:val="11"/>
              <w:rPr>
                <w:rFonts w:ascii="黑体"/>
                <w:b/>
                <w:sz w:val="20"/>
              </w:rPr>
            </w:pPr>
          </w:p>
          <w:p w14:paraId="4A8E2922">
            <w:pPr>
              <w:pStyle w:val="11"/>
              <w:rPr>
                <w:rFonts w:ascii="黑体"/>
                <w:b/>
                <w:sz w:val="20"/>
              </w:rPr>
            </w:pPr>
          </w:p>
          <w:p w14:paraId="4ACCCC8D">
            <w:pPr>
              <w:pStyle w:val="11"/>
              <w:spacing w:before="5"/>
              <w:rPr>
                <w:rFonts w:ascii="黑体"/>
                <w:b/>
                <w:sz w:val="17"/>
              </w:rPr>
            </w:pPr>
          </w:p>
          <w:p w14:paraId="2DD016D7">
            <w:pPr>
              <w:pStyle w:val="11"/>
              <w:spacing w:line="244" w:lineRule="auto"/>
              <w:ind w:left="395" w:right="179" w:hanging="209"/>
              <w:rPr>
                <w:sz w:val="21"/>
              </w:rPr>
            </w:pPr>
            <w:r>
              <w:rPr>
                <w:spacing w:val="-1"/>
                <w:sz w:val="21"/>
              </w:rPr>
              <w:t>液压传动</w:t>
            </w:r>
            <w:r>
              <w:rPr>
                <w:sz w:val="21"/>
              </w:rPr>
              <w:t>部分</w:t>
            </w:r>
          </w:p>
        </w:tc>
        <w:tc>
          <w:tcPr>
            <w:tcW w:w="4349" w:type="dxa"/>
            <w:gridSpan w:val="2"/>
          </w:tcPr>
          <w:p w14:paraId="2308F2E0">
            <w:pPr>
              <w:pStyle w:val="11"/>
              <w:spacing w:before="73"/>
              <w:ind w:left="107"/>
              <w:rPr>
                <w:sz w:val="21"/>
              </w:rPr>
            </w:pPr>
            <w:r>
              <w:rPr>
                <w:sz w:val="21"/>
              </w:rPr>
              <w:t>液压泵压力正常</w:t>
            </w:r>
          </w:p>
        </w:tc>
        <w:tc>
          <w:tcPr>
            <w:tcW w:w="2128" w:type="dxa"/>
          </w:tcPr>
          <w:p w14:paraId="295A3AC4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7CDDD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169C0CA8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7B9E4618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01F40859">
            <w:pPr>
              <w:pStyle w:val="11"/>
              <w:spacing w:before="75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支腿正常伸缩，无下滑拖滞现象</w:t>
            </w:r>
          </w:p>
        </w:tc>
        <w:tc>
          <w:tcPr>
            <w:tcW w:w="2128" w:type="dxa"/>
          </w:tcPr>
          <w:p w14:paraId="09F0FB1A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42D51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65149CD6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62D1A238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49" w:type="dxa"/>
            <w:gridSpan w:val="2"/>
          </w:tcPr>
          <w:p w14:paraId="1F492E70">
            <w:pPr>
              <w:pStyle w:val="11"/>
              <w:spacing w:before="65"/>
              <w:ind w:left="107"/>
              <w:rPr>
                <w:sz w:val="21"/>
              </w:rPr>
            </w:pPr>
            <w:r>
              <w:rPr>
                <w:sz w:val="21"/>
              </w:rPr>
              <w:t>变幅油缸无下滑现象</w:t>
            </w:r>
          </w:p>
        </w:tc>
        <w:tc>
          <w:tcPr>
            <w:tcW w:w="2128" w:type="dxa"/>
          </w:tcPr>
          <w:p w14:paraId="55874E56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2D1548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03C578BE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49B5D2A9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5F5F7BBA">
            <w:pPr>
              <w:pStyle w:val="11"/>
              <w:spacing w:before="80"/>
              <w:ind w:left="107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主臂伸缩油缸正常，无下滑</w:t>
            </w:r>
          </w:p>
        </w:tc>
        <w:tc>
          <w:tcPr>
            <w:tcW w:w="2128" w:type="dxa"/>
          </w:tcPr>
          <w:p w14:paraId="6D1A82B5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7ADDD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24883C04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197324B2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49" w:type="dxa"/>
            <w:gridSpan w:val="2"/>
          </w:tcPr>
          <w:p w14:paraId="71537FD3">
            <w:pPr>
              <w:pStyle w:val="11"/>
              <w:spacing w:before="63"/>
              <w:ind w:left="107"/>
              <w:rPr>
                <w:sz w:val="21"/>
              </w:rPr>
            </w:pPr>
            <w:r>
              <w:rPr>
                <w:sz w:val="21"/>
              </w:rPr>
              <w:t>回转正常</w:t>
            </w:r>
          </w:p>
        </w:tc>
        <w:tc>
          <w:tcPr>
            <w:tcW w:w="2128" w:type="dxa"/>
          </w:tcPr>
          <w:p w14:paraId="2B5BC694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1925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  <w:jc w:val="center"/>
        </w:trPr>
        <w:tc>
          <w:tcPr>
            <w:tcW w:w="682" w:type="dxa"/>
            <w:vMerge w:val="continue"/>
            <w:tcBorders>
              <w:top w:val="nil"/>
            </w:tcBorders>
          </w:tcPr>
          <w:p w14:paraId="2BBD3FAE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1640AD96">
            <w:pPr>
              <w:rPr>
                <w:sz w:val="2"/>
                <w:szCs w:val="2"/>
              </w:rPr>
            </w:pPr>
          </w:p>
        </w:tc>
        <w:tc>
          <w:tcPr>
            <w:tcW w:w="4349" w:type="dxa"/>
            <w:gridSpan w:val="2"/>
          </w:tcPr>
          <w:p w14:paraId="4A500FE2">
            <w:pPr>
              <w:pStyle w:val="11"/>
              <w:spacing w:before="73"/>
              <w:ind w:left="107"/>
              <w:rPr>
                <w:sz w:val="21"/>
              </w:rPr>
            </w:pPr>
            <w:r>
              <w:rPr>
                <w:sz w:val="21"/>
              </w:rPr>
              <w:t>液压油温无异常</w:t>
            </w:r>
          </w:p>
        </w:tc>
        <w:tc>
          <w:tcPr>
            <w:tcW w:w="2128" w:type="dxa"/>
          </w:tcPr>
          <w:p w14:paraId="7C7E3A5F"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 w14:paraId="36106693">
      <w:pPr>
        <w:rPr>
          <w:rFonts w:ascii="Times New Roman"/>
          <w:sz w:val="20"/>
        </w:rPr>
        <w:sectPr>
          <w:type w:val="continuous"/>
          <w:pgSz w:w="11910" w:h="16850"/>
          <w:pgMar w:top="1580" w:right="580" w:bottom="280" w:left="600" w:header="0" w:footer="753" w:gutter="0"/>
          <w:cols w:space="720" w:num="1"/>
        </w:sectPr>
      </w:pPr>
    </w:p>
    <w:tbl>
      <w:tblPr>
        <w:tblStyle w:val="9"/>
        <w:tblW w:w="0" w:type="auto"/>
        <w:tblInd w:w="11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220"/>
        <w:gridCol w:w="2505"/>
        <w:gridCol w:w="1845"/>
        <w:gridCol w:w="143"/>
        <w:gridCol w:w="1987"/>
      </w:tblGrid>
      <w:tr w14:paraId="79C3C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682" w:type="dxa"/>
            <w:vMerge w:val="restart"/>
          </w:tcPr>
          <w:p w14:paraId="2E3BE414">
            <w:pPr>
              <w:pStyle w:val="11"/>
              <w:rPr>
                <w:rFonts w:ascii="黑体"/>
                <w:b/>
                <w:sz w:val="20"/>
              </w:rPr>
            </w:pPr>
          </w:p>
          <w:p w14:paraId="4AA9A277">
            <w:pPr>
              <w:pStyle w:val="11"/>
              <w:rPr>
                <w:rFonts w:ascii="黑体"/>
                <w:b/>
                <w:sz w:val="20"/>
              </w:rPr>
            </w:pPr>
          </w:p>
          <w:p w14:paraId="68CA88D8">
            <w:pPr>
              <w:pStyle w:val="11"/>
              <w:rPr>
                <w:rFonts w:ascii="黑体"/>
                <w:b/>
                <w:sz w:val="20"/>
              </w:rPr>
            </w:pPr>
          </w:p>
          <w:p w14:paraId="3CF0A999">
            <w:pPr>
              <w:pStyle w:val="11"/>
              <w:spacing w:before="8"/>
              <w:rPr>
                <w:rFonts w:ascii="黑体"/>
                <w:b/>
                <w:sz w:val="17"/>
              </w:rPr>
            </w:pPr>
          </w:p>
          <w:p w14:paraId="77A73855">
            <w:pPr>
              <w:pStyle w:val="1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  <w:tc>
          <w:tcPr>
            <w:tcW w:w="1220" w:type="dxa"/>
            <w:vMerge w:val="restart"/>
          </w:tcPr>
          <w:p w14:paraId="65290857">
            <w:pPr>
              <w:pStyle w:val="11"/>
              <w:rPr>
                <w:rFonts w:ascii="黑体"/>
                <w:b/>
                <w:sz w:val="20"/>
              </w:rPr>
            </w:pPr>
          </w:p>
          <w:p w14:paraId="7231EE5C">
            <w:pPr>
              <w:pStyle w:val="11"/>
              <w:rPr>
                <w:rFonts w:ascii="黑体"/>
                <w:b/>
                <w:sz w:val="20"/>
              </w:rPr>
            </w:pPr>
          </w:p>
          <w:p w14:paraId="009229D3">
            <w:pPr>
              <w:pStyle w:val="11"/>
              <w:rPr>
                <w:rFonts w:ascii="黑体"/>
                <w:b/>
                <w:sz w:val="20"/>
              </w:rPr>
            </w:pPr>
          </w:p>
          <w:p w14:paraId="025B346F">
            <w:pPr>
              <w:pStyle w:val="11"/>
              <w:spacing w:before="8"/>
              <w:rPr>
                <w:rFonts w:ascii="黑体"/>
                <w:b/>
                <w:sz w:val="17"/>
              </w:rPr>
            </w:pPr>
          </w:p>
          <w:p w14:paraId="7FF74350">
            <w:pPr>
              <w:pStyle w:val="11"/>
              <w:ind w:left="186"/>
              <w:rPr>
                <w:sz w:val="21"/>
              </w:rPr>
            </w:pPr>
            <w:r>
              <w:rPr>
                <w:sz w:val="21"/>
              </w:rPr>
              <w:t>底盘部分</w:t>
            </w:r>
          </w:p>
        </w:tc>
        <w:tc>
          <w:tcPr>
            <w:tcW w:w="4350" w:type="dxa"/>
            <w:gridSpan w:val="2"/>
          </w:tcPr>
          <w:p w14:paraId="4BDE5A38">
            <w:pPr>
              <w:pStyle w:val="11"/>
              <w:spacing w:before="145"/>
              <w:ind w:left="107"/>
              <w:rPr>
                <w:sz w:val="21"/>
              </w:rPr>
            </w:pPr>
            <w:r>
              <w:rPr>
                <w:sz w:val="21"/>
              </w:rPr>
              <w:t>离合器正常无打滑</w:t>
            </w:r>
          </w:p>
        </w:tc>
        <w:tc>
          <w:tcPr>
            <w:tcW w:w="2130" w:type="dxa"/>
            <w:gridSpan w:val="2"/>
          </w:tcPr>
          <w:p w14:paraId="2C37F521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6B864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664B218F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6B5351F9">
            <w:pPr>
              <w:rPr>
                <w:sz w:val="2"/>
                <w:szCs w:val="2"/>
              </w:rPr>
            </w:pPr>
          </w:p>
        </w:tc>
        <w:tc>
          <w:tcPr>
            <w:tcW w:w="4350" w:type="dxa"/>
            <w:gridSpan w:val="2"/>
          </w:tcPr>
          <w:p w14:paraId="767CB44A">
            <w:pPr>
              <w:pStyle w:val="11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变速箱正常</w:t>
            </w:r>
          </w:p>
        </w:tc>
        <w:tc>
          <w:tcPr>
            <w:tcW w:w="2130" w:type="dxa"/>
            <w:gridSpan w:val="2"/>
          </w:tcPr>
          <w:p w14:paraId="291D7E62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4B3D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19608236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267005FE">
            <w:pPr>
              <w:rPr>
                <w:sz w:val="2"/>
                <w:szCs w:val="2"/>
              </w:rPr>
            </w:pPr>
          </w:p>
        </w:tc>
        <w:tc>
          <w:tcPr>
            <w:tcW w:w="4350" w:type="dxa"/>
            <w:gridSpan w:val="2"/>
          </w:tcPr>
          <w:p w14:paraId="32A2B9D7">
            <w:pPr>
              <w:pStyle w:val="11"/>
              <w:spacing w:before="73"/>
              <w:ind w:left="107"/>
              <w:rPr>
                <w:sz w:val="21"/>
              </w:rPr>
            </w:pPr>
            <w:r>
              <w:rPr>
                <w:sz w:val="21"/>
              </w:rPr>
              <w:t>刹车系统正常</w:t>
            </w:r>
          </w:p>
        </w:tc>
        <w:tc>
          <w:tcPr>
            <w:tcW w:w="2130" w:type="dxa"/>
            <w:gridSpan w:val="2"/>
          </w:tcPr>
          <w:p w14:paraId="27C03B68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707CF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525F37B8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29E96F1A">
            <w:pPr>
              <w:rPr>
                <w:sz w:val="2"/>
                <w:szCs w:val="2"/>
              </w:rPr>
            </w:pPr>
          </w:p>
        </w:tc>
        <w:tc>
          <w:tcPr>
            <w:tcW w:w="4350" w:type="dxa"/>
            <w:gridSpan w:val="2"/>
          </w:tcPr>
          <w:p w14:paraId="7B580971">
            <w:pPr>
              <w:pStyle w:val="11"/>
              <w:spacing w:before="75"/>
              <w:ind w:left="107"/>
              <w:rPr>
                <w:sz w:val="21"/>
              </w:rPr>
            </w:pPr>
            <w:r>
              <w:rPr>
                <w:sz w:val="21"/>
              </w:rPr>
              <w:t>各操控机构正常</w:t>
            </w:r>
          </w:p>
        </w:tc>
        <w:tc>
          <w:tcPr>
            <w:tcW w:w="2130" w:type="dxa"/>
            <w:gridSpan w:val="2"/>
          </w:tcPr>
          <w:p w14:paraId="7B6F1B73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6C076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062CA72E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7A1635B2">
            <w:pPr>
              <w:rPr>
                <w:sz w:val="2"/>
                <w:szCs w:val="2"/>
              </w:rPr>
            </w:pPr>
          </w:p>
        </w:tc>
        <w:tc>
          <w:tcPr>
            <w:tcW w:w="4350" w:type="dxa"/>
            <w:gridSpan w:val="2"/>
          </w:tcPr>
          <w:p w14:paraId="4116F163">
            <w:pPr>
              <w:pStyle w:val="11"/>
              <w:spacing w:before="70"/>
              <w:ind w:left="107"/>
              <w:rPr>
                <w:sz w:val="21"/>
              </w:rPr>
            </w:pPr>
            <w:r>
              <w:rPr>
                <w:sz w:val="21"/>
              </w:rPr>
              <w:t>行走系统正常</w:t>
            </w:r>
          </w:p>
        </w:tc>
        <w:tc>
          <w:tcPr>
            <w:tcW w:w="2130" w:type="dxa"/>
            <w:gridSpan w:val="2"/>
          </w:tcPr>
          <w:p w14:paraId="28374965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5A0266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82" w:type="dxa"/>
            <w:vMerge w:val="restart"/>
          </w:tcPr>
          <w:p w14:paraId="72FEDE3F">
            <w:pPr>
              <w:pStyle w:val="11"/>
              <w:rPr>
                <w:rFonts w:ascii="黑体"/>
                <w:b/>
                <w:sz w:val="20"/>
              </w:rPr>
            </w:pPr>
          </w:p>
          <w:p w14:paraId="36A0FDC4">
            <w:pPr>
              <w:pStyle w:val="11"/>
              <w:rPr>
                <w:rFonts w:ascii="黑体"/>
                <w:b/>
                <w:sz w:val="20"/>
              </w:rPr>
            </w:pPr>
          </w:p>
          <w:p w14:paraId="59340AD0">
            <w:pPr>
              <w:pStyle w:val="11"/>
              <w:rPr>
                <w:rFonts w:ascii="黑体"/>
                <w:b/>
                <w:sz w:val="20"/>
              </w:rPr>
            </w:pPr>
          </w:p>
          <w:p w14:paraId="3C8FB9C2">
            <w:pPr>
              <w:pStyle w:val="11"/>
              <w:rPr>
                <w:rFonts w:ascii="黑体"/>
                <w:b/>
                <w:sz w:val="20"/>
              </w:rPr>
            </w:pPr>
          </w:p>
          <w:p w14:paraId="70D62C67">
            <w:pPr>
              <w:pStyle w:val="11"/>
              <w:rPr>
                <w:rFonts w:ascii="黑体"/>
                <w:b/>
                <w:sz w:val="20"/>
              </w:rPr>
            </w:pPr>
          </w:p>
          <w:p w14:paraId="63725EF5">
            <w:pPr>
              <w:pStyle w:val="11"/>
              <w:rPr>
                <w:rFonts w:ascii="黑体"/>
                <w:b/>
                <w:sz w:val="20"/>
              </w:rPr>
            </w:pPr>
          </w:p>
          <w:p w14:paraId="35B1BA71">
            <w:pPr>
              <w:pStyle w:val="11"/>
              <w:rPr>
                <w:rFonts w:ascii="黑体"/>
                <w:b/>
                <w:sz w:val="20"/>
              </w:rPr>
            </w:pPr>
          </w:p>
          <w:p w14:paraId="7E4A47EE">
            <w:pPr>
              <w:pStyle w:val="11"/>
              <w:rPr>
                <w:rFonts w:ascii="黑体"/>
                <w:b/>
                <w:sz w:val="20"/>
              </w:rPr>
            </w:pPr>
          </w:p>
          <w:p w14:paraId="02B66F39">
            <w:pPr>
              <w:pStyle w:val="11"/>
              <w:rPr>
                <w:rFonts w:ascii="黑体"/>
                <w:b/>
                <w:sz w:val="20"/>
              </w:rPr>
            </w:pPr>
          </w:p>
          <w:p w14:paraId="2BD597A1">
            <w:pPr>
              <w:pStyle w:val="11"/>
              <w:rPr>
                <w:rFonts w:ascii="黑体"/>
                <w:b/>
                <w:sz w:val="20"/>
              </w:rPr>
            </w:pPr>
          </w:p>
          <w:p w14:paraId="3C26BEA0">
            <w:pPr>
              <w:pStyle w:val="11"/>
              <w:spacing w:before="9"/>
              <w:rPr>
                <w:rFonts w:ascii="黑体"/>
                <w:b/>
                <w:sz w:val="26"/>
              </w:rPr>
            </w:pPr>
          </w:p>
          <w:p w14:paraId="356BE761">
            <w:pPr>
              <w:pStyle w:val="11"/>
              <w:spacing w:before="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六</w:t>
            </w:r>
          </w:p>
        </w:tc>
        <w:tc>
          <w:tcPr>
            <w:tcW w:w="1220" w:type="dxa"/>
            <w:vMerge w:val="restart"/>
          </w:tcPr>
          <w:p w14:paraId="07983342">
            <w:pPr>
              <w:pStyle w:val="11"/>
              <w:rPr>
                <w:rFonts w:ascii="黑体"/>
                <w:b/>
                <w:sz w:val="20"/>
              </w:rPr>
            </w:pPr>
          </w:p>
          <w:p w14:paraId="74F3153C">
            <w:pPr>
              <w:pStyle w:val="11"/>
              <w:rPr>
                <w:rFonts w:ascii="黑体"/>
                <w:b/>
                <w:sz w:val="20"/>
              </w:rPr>
            </w:pPr>
          </w:p>
          <w:p w14:paraId="2C8289B9">
            <w:pPr>
              <w:pStyle w:val="11"/>
              <w:rPr>
                <w:rFonts w:ascii="黑体"/>
                <w:b/>
                <w:sz w:val="20"/>
              </w:rPr>
            </w:pPr>
          </w:p>
          <w:p w14:paraId="26EA397A">
            <w:pPr>
              <w:pStyle w:val="11"/>
              <w:rPr>
                <w:rFonts w:ascii="黑体"/>
                <w:b/>
                <w:sz w:val="20"/>
              </w:rPr>
            </w:pPr>
          </w:p>
          <w:p w14:paraId="02ABCACD">
            <w:pPr>
              <w:pStyle w:val="11"/>
              <w:rPr>
                <w:rFonts w:ascii="黑体"/>
                <w:b/>
                <w:sz w:val="20"/>
              </w:rPr>
            </w:pPr>
          </w:p>
          <w:p w14:paraId="138FC6E8">
            <w:pPr>
              <w:pStyle w:val="11"/>
              <w:rPr>
                <w:rFonts w:ascii="黑体"/>
                <w:b/>
                <w:sz w:val="20"/>
              </w:rPr>
            </w:pPr>
          </w:p>
          <w:p w14:paraId="0DCE811D">
            <w:pPr>
              <w:pStyle w:val="11"/>
              <w:rPr>
                <w:rFonts w:ascii="黑体"/>
                <w:b/>
                <w:sz w:val="20"/>
              </w:rPr>
            </w:pPr>
          </w:p>
          <w:p w14:paraId="463BDCF3">
            <w:pPr>
              <w:pStyle w:val="11"/>
              <w:rPr>
                <w:rFonts w:ascii="黑体"/>
                <w:b/>
                <w:sz w:val="20"/>
              </w:rPr>
            </w:pPr>
          </w:p>
          <w:p w14:paraId="01981E96">
            <w:pPr>
              <w:pStyle w:val="11"/>
              <w:rPr>
                <w:rFonts w:ascii="黑体"/>
                <w:b/>
                <w:sz w:val="20"/>
              </w:rPr>
            </w:pPr>
          </w:p>
          <w:p w14:paraId="43DA1ED5">
            <w:pPr>
              <w:pStyle w:val="11"/>
              <w:rPr>
                <w:rFonts w:ascii="黑体"/>
                <w:b/>
                <w:sz w:val="20"/>
              </w:rPr>
            </w:pPr>
          </w:p>
          <w:p w14:paraId="21DDB004">
            <w:pPr>
              <w:pStyle w:val="11"/>
              <w:spacing w:before="1"/>
              <w:rPr>
                <w:rFonts w:ascii="黑体"/>
                <w:b/>
                <w:sz w:val="16"/>
              </w:rPr>
            </w:pPr>
          </w:p>
          <w:p w14:paraId="50B65834">
            <w:pPr>
              <w:pStyle w:val="11"/>
              <w:spacing w:line="244" w:lineRule="auto"/>
              <w:ind w:left="395" w:right="179" w:hanging="209"/>
              <w:rPr>
                <w:sz w:val="21"/>
              </w:rPr>
            </w:pPr>
            <w:r>
              <w:rPr>
                <w:spacing w:val="-1"/>
                <w:sz w:val="21"/>
              </w:rPr>
              <w:t>安全防护</w:t>
            </w:r>
            <w:r>
              <w:rPr>
                <w:sz w:val="21"/>
              </w:rPr>
              <w:t>部分</w:t>
            </w:r>
          </w:p>
        </w:tc>
        <w:tc>
          <w:tcPr>
            <w:tcW w:w="4350" w:type="dxa"/>
            <w:gridSpan w:val="2"/>
          </w:tcPr>
          <w:p w14:paraId="7E62990E">
            <w:pPr>
              <w:pStyle w:val="11"/>
              <w:spacing w:before="73"/>
              <w:ind w:left="107"/>
              <w:rPr>
                <w:sz w:val="21"/>
              </w:rPr>
            </w:pPr>
            <w:r>
              <w:rPr>
                <w:sz w:val="21"/>
              </w:rPr>
              <w:t>有产品合格证</w:t>
            </w:r>
          </w:p>
        </w:tc>
        <w:tc>
          <w:tcPr>
            <w:tcW w:w="2130" w:type="dxa"/>
            <w:gridSpan w:val="2"/>
          </w:tcPr>
          <w:p w14:paraId="2796A9F2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614AE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2914E93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2242B12E">
            <w:pPr>
              <w:rPr>
                <w:sz w:val="2"/>
                <w:szCs w:val="2"/>
              </w:rPr>
            </w:pPr>
          </w:p>
        </w:tc>
        <w:tc>
          <w:tcPr>
            <w:tcW w:w="4350" w:type="dxa"/>
            <w:gridSpan w:val="2"/>
          </w:tcPr>
          <w:p w14:paraId="7393E3E9">
            <w:pPr>
              <w:pStyle w:val="11"/>
              <w:spacing w:before="78" w:line="242" w:lineRule="auto"/>
              <w:ind w:left="107" w:right="97"/>
              <w:rPr>
                <w:sz w:val="21"/>
                <w:lang w:eastAsia="zh-CN"/>
              </w:rPr>
            </w:pPr>
            <w:r>
              <w:rPr>
                <w:spacing w:val="-4"/>
                <w:sz w:val="21"/>
                <w:lang w:eastAsia="zh-CN"/>
              </w:rPr>
              <w:t>起重钢丝绳无断丝、断股，润滑良好，直径缩</w:t>
            </w:r>
            <w:r>
              <w:rPr>
                <w:spacing w:val="-11"/>
                <w:sz w:val="21"/>
                <w:lang w:eastAsia="zh-CN"/>
              </w:rPr>
              <w:t xml:space="preserve">径不大于 </w:t>
            </w:r>
            <w:r>
              <w:rPr>
                <w:sz w:val="21"/>
                <w:lang w:eastAsia="zh-CN"/>
              </w:rPr>
              <w:t>10％</w:t>
            </w:r>
          </w:p>
        </w:tc>
        <w:tc>
          <w:tcPr>
            <w:tcW w:w="2130" w:type="dxa"/>
            <w:gridSpan w:val="2"/>
          </w:tcPr>
          <w:p w14:paraId="0B9B5650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0D279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119FC1F7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38E0D781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50" w:type="dxa"/>
            <w:gridSpan w:val="2"/>
          </w:tcPr>
          <w:p w14:paraId="24B8413D">
            <w:pPr>
              <w:pStyle w:val="11"/>
              <w:spacing w:before="145" w:line="242" w:lineRule="auto"/>
              <w:ind w:left="107" w:right="133"/>
              <w:rPr>
                <w:sz w:val="21"/>
                <w:lang w:eastAsia="zh-CN"/>
              </w:rPr>
            </w:pPr>
            <w:r>
              <w:rPr>
                <w:spacing w:val="-2"/>
                <w:sz w:val="21"/>
                <w:lang w:eastAsia="zh-CN"/>
              </w:rPr>
              <w:t>吊钩及滑轮无裂纹 ，危险断面磨损不大于原</w:t>
            </w:r>
            <w:r>
              <w:rPr>
                <w:spacing w:val="-14"/>
                <w:sz w:val="21"/>
                <w:lang w:eastAsia="zh-CN"/>
              </w:rPr>
              <w:t xml:space="preserve">尺寸的 </w:t>
            </w:r>
            <w:r>
              <w:rPr>
                <w:sz w:val="21"/>
                <w:lang w:eastAsia="zh-CN"/>
              </w:rPr>
              <w:t>10％</w:t>
            </w:r>
          </w:p>
        </w:tc>
        <w:tc>
          <w:tcPr>
            <w:tcW w:w="2130" w:type="dxa"/>
            <w:gridSpan w:val="2"/>
          </w:tcPr>
          <w:p w14:paraId="4BAB7EAD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47E17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4207E534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43F0D5F4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50" w:type="dxa"/>
            <w:gridSpan w:val="2"/>
          </w:tcPr>
          <w:p w14:paraId="094CD839">
            <w:pPr>
              <w:pStyle w:val="11"/>
              <w:spacing w:before="73"/>
              <w:ind w:left="107"/>
              <w:rPr>
                <w:sz w:val="21"/>
              </w:rPr>
            </w:pPr>
            <w:r>
              <w:rPr>
                <w:spacing w:val="-1"/>
                <w:sz w:val="21"/>
              </w:rPr>
              <w:t>起重量－幅度指示器正常。</w:t>
            </w:r>
          </w:p>
        </w:tc>
        <w:tc>
          <w:tcPr>
            <w:tcW w:w="2130" w:type="dxa"/>
            <w:gridSpan w:val="2"/>
          </w:tcPr>
          <w:p w14:paraId="640FA95E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8F0A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2EB38F79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3993EFD9">
            <w:pPr>
              <w:rPr>
                <w:sz w:val="2"/>
                <w:szCs w:val="2"/>
              </w:rPr>
            </w:pPr>
          </w:p>
        </w:tc>
        <w:tc>
          <w:tcPr>
            <w:tcW w:w="4350" w:type="dxa"/>
            <w:gridSpan w:val="2"/>
          </w:tcPr>
          <w:p w14:paraId="7B6517F8">
            <w:pPr>
              <w:pStyle w:val="11"/>
              <w:spacing w:before="77"/>
              <w:ind w:left="107"/>
              <w:rPr>
                <w:sz w:val="21"/>
                <w:lang w:eastAsia="zh-CN"/>
              </w:rPr>
            </w:pPr>
            <w:r>
              <w:rPr>
                <w:spacing w:val="-4"/>
                <w:sz w:val="21"/>
                <w:lang w:eastAsia="zh-CN"/>
              </w:rPr>
              <w:t>力矩限制器（安全载荷限制器</w:t>
            </w:r>
            <w:r>
              <w:rPr>
                <w:spacing w:val="-3"/>
                <w:sz w:val="21"/>
                <w:lang w:eastAsia="zh-CN"/>
              </w:rPr>
              <w:t>）装置灵敏可靠</w:t>
            </w:r>
          </w:p>
        </w:tc>
        <w:tc>
          <w:tcPr>
            <w:tcW w:w="2130" w:type="dxa"/>
            <w:gridSpan w:val="2"/>
          </w:tcPr>
          <w:p w14:paraId="70557183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5297B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637CFE5B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4D36CA51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50" w:type="dxa"/>
            <w:gridSpan w:val="2"/>
          </w:tcPr>
          <w:p w14:paraId="49FC566C">
            <w:pPr>
              <w:pStyle w:val="11"/>
              <w:spacing w:before="73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起升高度限位器的报警切断动力功能正常</w:t>
            </w:r>
          </w:p>
        </w:tc>
        <w:tc>
          <w:tcPr>
            <w:tcW w:w="2130" w:type="dxa"/>
            <w:gridSpan w:val="2"/>
          </w:tcPr>
          <w:p w14:paraId="708C54A2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4073FC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22674014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6E120B8A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50" w:type="dxa"/>
            <w:gridSpan w:val="2"/>
          </w:tcPr>
          <w:p w14:paraId="4551A9E3">
            <w:pPr>
              <w:pStyle w:val="11"/>
              <w:spacing w:before="140"/>
              <w:ind w:left="107"/>
              <w:rPr>
                <w:sz w:val="21"/>
              </w:rPr>
            </w:pPr>
            <w:r>
              <w:rPr>
                <w:sz w:val="21"/>
              </w:rPr>
              <w:t>水平仪的指示正常</w:t>
            </w:r>
          </w:p>
        </w:tc>
        <w:tc>
          <w:tcPr>
            <w:tcW w:w="2130" w:type="dxa"/>
            <w:gridSpan w:val="2"/>
          </w:tcPr>
          <w:p w14:paraId="68EF53F0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2D649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3CA2CED8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4CE60923">
            <w:pPr>
              <w:rPr>
                <w:sz w:val="2"/>
                <w:szCs w:val="2"/>
              </w:rPr>
            </w:pPr>
          </w:p>
        </w:tc>
        <w:tc>
          <w:tcPr>
            <w:tcW w:w="4350" w:type="dxa"/>
            <w:gridSpan w:val="2"/>
          </w:tcPr>
          <w:p w14:paraId="2FF9674C">
            <w:pPr>
              <w:pStyle w:val="11"/>
              <w:spacing w:before="73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防过放绳装置的功能正常</w:t>
            </w:r>
          </w:p>
        </w:tc>
        <w:tc>
          <w:tcPr>
            <w:tcW w:w="2130" w:type="dxa"/>
            <w:gridSpan w:val="2"/>
          </w:tcPr>
          <w:p w14:paraId="0DFC9173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60397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07EDB9BD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45FB2F99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50" w:type="dxa"/>
            <w:gridSpan w:val="2"/>
          </w:tcPr>
          <w:p w14:paraId="505DD34D">
            <w:pPr>
              <w:pStyle w:val="11"/>
              <w:spacing w:before="68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卷筒无裂纹、无乱绳现象</w:t>
            </w:r>
          </w:p>
        </w:tc>
        <w:tc>
          <w:tcPr>
            <w:tcW w:w="2130" w:type="dxa"/>
            <w:gridSpan w:val="2"/>
          </w:tcPr>
          <w:p w14:paraId="3A801F31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0F3940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18591C73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2DA528D1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50" w:type="dxa"/>
            <w:gridSpan w:val="2"/>
          </w:tcPr>
          <w:p w14:paraId="341BA6E1">
            <w:pPr>
              <w:pStyle w:val="11"/>
              <w:spacing w:before="73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吊钩防脱装置工作可靠</w:t>
            </w:r>
          </w:p>
        </w:tc>
        <w:tc>
          <w:tcPr>
            <w:tcW w:w="2130" w:type="dxa"/>
            <w:gridSpan w:val="2"/>
          </w:tcPr>
          <w:p w14:paraId="23DDCE1F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04273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226EFB8E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16B53A4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4350" w:type="dxa"/>
            <w:gridSpan w:val="2"/>
          </w:tcPr>
          <w:p w14:paraId="41885D8D">
            <w:pPr>
              <w:pStyle w:val="11"/>
              <w:spacing w:before="75"/>
              <w:ind w:left="107"/>
              <w:rPr>
                <w:sz w:val="21"/>
              </w:rPr>
            </w:pPr>
            <w:r>
              <w:rPr>
                <w:sz w:val="21"/>
              </w:rPr>
              <w:t>操作人员持证上岗</w:t>
            </w:r>
          </w:p>
        </w:tc>
        <w:tc>
          <w:tcPr>
            <w:tcW w:w="2130" w:type="dxa"/>
            <w:gridSpan w:val="2"/>
          </w:tcPr>
          <w:p w14:paraId="2779BBD2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0BF67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682" w:type="dxa"/>
            <w:vMerge w:val="continue"/>
            <w:tcBorders>
              <w:top w:val="nil"/>
            </w:tcBorders>
          </w:tcPr>
          <w:p w14:paraId="6FDDCD76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 w:val="continue"/>
            <w:tcBorders>
              <w:top w:val="nil"/>
            </w:tcBorders>
          </w:tcPr>
          <w:p w14:paraId="2B20199C">
            <w:pPr>
              <w:rPr>
                <w:sz w:val="2"/>
                <w:szCs w:val="2"/>
              </w:rPr>
            </w:pPr>
          </w:p>
        </w:tc>
        <w:tc>
          <w:tcPr>
            <w:tcW w:w="4350" w:type="dxa"/>
            <w:gridSpan w:val="2"/>
          </w:tcPr>
          <w:p w14:paraId="09834553">
            <w:pPr>
              <w:pStyle w:val="11"/>
              <w:spacing w:before="142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驾驶室内挂设安全技术操作规程</w:t>
            </w:r>
          </w:p>
        </w:tc>
        <w:tc>
          <w:tcPr>
            <w:tcW w:w="2130" w:type="dxa"/>
            <w:gridSpan w:val="2"/>
          </w:tcPr>
          <w:p w14:paraId="0C0737DA">
            <w:pPr>
              <w:pStyle w:val="11"/>
              <w:rPr>
                <w:rFonts w:ascii="Times New Roman"/>
                <w:sz w:val="20"/>
                <w:lang w:eastAsia="zh-CN"/>
              </w:rPr>
            </w:pPr>
          </w:p>
        </w:tc>
      </w:tr>
      <w:tr w14:paraId="44EA1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6" w:hRule="atLeast"/>
        </w:trPr>
        <w:tc>
          <w:tcPr>
            <w:tcW w:w="1902" w:type="dxa"/>
            <w:gridSpan w:val="2"/>
          </w:tcPr>
          <w:p w14:paraId="084A8596">
            <w:pPr>
              <w:pStyle w:val="11"/>
              <w:rPr>
                <w:rFonts w:ascii="黑体"/>
                <w:b/>
                <w:sz w:val="20"/>
                <w:lang w:eastAsia="zh-CN"/>
              </w:rPr>
            </w:pPr>
          </w:p>
          <w:p w14:paraId="2DF38377">
            <w:pPr>
              <w:pStyle w:val="11"/>
              <w:rPr>
                <w:rFonts w:ascii="黑体"/>
                <w:b/>
                <w:sz w:val="20"/>
                <w:lang w:eastAsia="zh-CN"/>
              </w:rPr>
            </w:pPr>
          </w:p>
          <w:p w14:paraId="72073A01">
            <w:pPr>
              <w:pStyle w:val="11"/>
              <w:spacing w:before="6"/>
              <w:rPr>
                <w:rFonts w:ascii="黑体"/>
                <w:b/>
                <w:sz w:val="15"/>
                <w:lang w:eastAsia="zh-CN"/>
              </w:rPr>
            </w:pPr>
          </w:p>
          <w:p w14:paraId="1A492709">
            <w:pPr>
              <w:pStyle w:val="11"/>
              <w:ind w:left="530"/>
              <w:rPr>
                <w:sz w:val="21"/>
              </w:rPr>
            </w:pPr>
            <w:r>
              <w:rPr>
                <w:sz w:val="21"/>
              </w:rPr>
              <w:t>验收结论</w:t>
            </w:r>
          </w:p>
        </w:tc>
        <w:tc>
          <w:tcPr>
            <w:tcW w:w="6480" w:type="dxa"/>
            <w:gridSpan w:val="4"/>
          </w:tcPr>
          <w:p w14:paraId="036B42B0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785449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1902" w:type="dxa"/>
            <w:gridSpan w:val="2"/>
            <w:vMerge w:val="restart"/>
          </w:tcPr>
          <w:p w14:paraId="63D4B8E0">
            <w:pPr>
              <w:pStyle w:val="11"/>
              <w:rPr>
                <w:rFonts w:ascii="黑体"/>
                <w:b/>
                <w:sz w:val="20"/>
              </w:rPr>
            </w:pPr>
          </w:p>
          <w:p w14:paraId="72C547EF">
            <w:pPr>
              <w:pStyle w:val="11"/>
              <w:rPr>
                <w:rFonts w:ascii="黑体"/>
                <w:b/>
                <w:sz w:val="20"/>
              </w:rPr>
            </w:pPr>
          </w:p>
          <w:p w14:paraId="15657E82">
            <w:pPr>
              <w:pStyle w:val="11"/>
              <w:rPr>
                <w:rFonts w:ascii="黑体"/>
                <w:b/>
                <w:sz w:val="20"/>
              </w:rPr>
            </w:pPr>
          </w:p>
          <w:p w14:paraId="71B2FD3E">
            <w:pPr>
              <w:pStyle w:val="11"/>
              <w:rPr>
                <w:rFonts w:ascii="黑体"/>
                <w:b/>
                <w:sz w:val="21"/>
              </w:rPr>
            </w:pPr>
          </w:p>
          <w:p w14:paraId="7AAA2051">
            <w:pPr>
              <w:pStyle w:val="11"/>
              <w:ind w:left="424"/>
              <w:rPr>
                <w:sz w:val="21"/>
              </w:rPr>
            </w:pPr>
            <w:r>
              <w:rPr>
                <w:sz w:val="21"/>
              </w:rPr>
              <w:t>验收人签字</w:t>
            </w:r>
          </w:p>
        </w:tc>
        <w:tc>
          <w:tcPr>
            <w:tcW w:w="2505" w:type="dxa"/>
          </w:tcPr>
          <w:p w14:paraId="6BA6B9BC">
            <w:pPr>
              <w:pStyle w:val="11"/>
              <w:spacing w:before="10"/>
              <w:rPr>
                <w:rFonts w:ascii="黑体"/>
                <w:b/>
                <w:sz w:val="16"/>
              </w:rPr>
            </w:pPr>
          </w:p>
          <w:p w14:paraId="76305A4E">
            <w:pPr>
              <w:pStyle w:val="11"/>
              <w:ind w:left="829"/>
              <w:rPr>
                <w:sz w:val="21"/>
              </w:rPr>
            </w:pPr>
            <w:r>
              <w:rPr>
                <w:sz w:val="21"/>
              </w:rPr>
              <w:t>总包单位</w:t>
            </w:r>
          </w:p>
        </w:tc>
        <w:tc>
          <w:tcPr>
            <w:tcW w:w="1988" w:type="dxa"/>
            <w:gridSpan w:val="2"/>
          </w:tcPr>
          <w:p w14:paraId="380549AA">
            <w:pPr>
              <w:pStyle w:val="11"/>
              <w:spacing w:before="10"/>
              <w:rPr>
                <w:rFonts w:ascii="黑体"/>
                <w:b/>
                <w:sz w:val="16"/>
              </w:rPr>
            </w:pPr>
          </w:p>
          <w:p w14:paraId="3DE7C4D1">
            <w:pPr>
              <w:pStyle w:val="11"/>
              <w:ind w:left="568"/>
              <w:rPr>
                <w:sz w:val="21"/>
              </w:rPr>
            </w:pPr>
            <w:r>
              <w:rPr>
                <w:sz w:val="21"/>
              </w:rPr>
              <w:t>分包单位</w:t>
            </w:r>
          </w:p>
        </w:tc>
        <w:tc>
          <w:tcPr>
            <w:tcW w:w="1987" w:type="dxa"/>
          </w:tcPr>
          <w:p w14:paraId="7F765964">
            <w:pPr>
              <w:pStyle w:val="11"/>
              <w:spacing w:before="10"/>
              <w:rPr>
                <w:rFonts w:ascii="黑体"/>
                <w:b/>
                <w:sz w:val="16"/>
              </w:rPr>
            </w:pPr>
          </w:p>
          <w:p w14:paraId="7A505EDD">
            <w:pPr>
              <w:pStyle w:val="11"/>
              <w:ind w:right="566"/>
              <w:jc w:val="right"/>
              <w:rPr>
                <w:sz w:val="21"/>
              </w:rPr>
            </w:pPr>
            <w:r>
              <w:rPr>
                <w:sz w:val="21"/>
              </w:rPr>
              <w:t>租赁单位</w:t>
            </w:r>
          </w:p>
        </w:tc>
      </w:tr>
      <w:tr w14:paraId="32B1E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6" w:hRule="atLeast"/>
        </w:trPr>
        <w:tc>
          <w:tcPr>
            <w:tcW w:w="1902" w:type="dxa"/>
            <w:gridSpan w:val="2"/>
            <w:vMerge w:val="continue"/>
            <w:tcBorders>
              <w:top w:val="nil"/>
            </w:tcBorders>
          </w:tcPr>
          <w:p w14:paraId="54867923"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</w:tcPr>
          <w:p w14:paraId="45E2212F">
            <w:pPr>
              <w:pStyle w:val="11"/>
              <w:spacing w:before="3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生产经理：</w:t>
            </w:r>
          </w:p>
          <w:p w14:paraId="0F1FF061">
            <w:pPr>
              <w:pStyle w:val="11"/>
              <w:spacing w:before="5" w:line="540" w:lineRule="atLeast"/>
              <w:ind w:left="107" w:right="1123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专业工程师：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pacing w:val="-1"/>
                <w:sz w:val="21"/>
                <w:lang w:eastAsia="zh-CN"/>
              </w:rPr>
              <w:t>安全工程师：</w:t>
            </w:r>
          </w:p>
        </w:tc>
        <w:tc>
          <w:tcPr>
            <w:tcW w:w="1988" w:type="dxa"/>
            <w:gridSpan w:val="2"/>
          </w:tcPr>
          <w:p w14:paraId="575566B8">
            <w:pPr>
              <w:pStyle w:val="11"/>
              <w:spacing w:before="3"/>
              <w:ind w:left="105"/>
              <w:rPr>
                <w:sz w:val="21"/>
              </w:rPr>
            </w:pPr>
            <w:r>
              <w:rPr>
                <w:sz w:val="21"/>
              </w:rPr>
              <w:t>现场负责人：</w:t>
            </w:r>
          </w:p>
        </w:tc>
        <w:tc>
          <w:tcPr>
            <w:tcW w:w="1987" w:type="dxa"/>
          </w:tcPr>
          <w:p w14:paraId="02528481">
            <w:pPr>
              <w:pStyle w:val="11"/>
              <w:spacing w:before="3"/>
              <w:ind w:right="609"/>
              <w:jc w:val="right"/>
              <w:rPr>
                <w:sz w:val="21"/>
              </w:rPr>
            </w:pPr>
            <w:r>
              <w:rPr>
                <w:sz w:val="21"/>
              </w:rPr>
              <w:t>现场负责人：</w:t>
            </w:r>
          </w:p>
        </w:tc>
      </w:tr>
    </w:tbl>
    <w:p w14:paraId="5566153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AD0"/>
    <w:rsid w:val="0007145F"/>
    <w:rsid w:val="000A2C5F"/>
    <w:rsid w:val="00271103"/>
    <w:rsid w:val="002A587B"/>
    <w:rsid w:val="00360634"/>
    <w:rsid w:val="0055507C"/>
    <w:rsid w:val="005C5746"/>
    <w:rsid w:val="005D542C"/>
    <w:rsid w:val="006F2AD0"/>
    <w:rsid w:val="00812D29"/>
    <w:rsid w:val="00B271E1"/>
    <w:rsid w:val="00D90B38"/>
    <w:rsid w:val="00DC51CA"/>
    <w:rsid w:val="00EF4283"/>
    <w:rsid w:val="2862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仿宋_GB2312" w:hAnsi="仿宋_GB2312" w:eastAsia="仿宋_GB2312" w:cs="仿宋_GB2312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8"/>
    <w:unhideWhenUsed/>
    <w:qFormat/>
    <w:uiPriority w:val="9"/>
    <w:pPr>
      <w:spacing w:before="39"/>
      <w:ind w:left="2189" w:hanging="992"/>
      <w:outlineLvl w:val="1"/>
    </w:pPr>
    <w:rPr>
      <w:rFonts w:ascii="黑体" w:hAnsi="黑体" w:eastAsia="黑体" w:cs="黑体"/>
      <w:b/>
      <w:bCs/>
      <w:sz w:val="24"/>
      <w:szCs w:val="24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0"/>
    <w:qFormat/>
    <w:uiPriority w:val="1"/>
    <w:pPr>
      <w:spacing w:before="173"/>
      <w:ind w:left="2609"/>
    </w:pPr>
    <w:rPr>
      <w:sz w:val="24"/>
      <w:szCs w:val="24"/>
    </w:rPr>
  </w:style>
  <w:style w:type="character" w:customStyle="1" w:styleId="8">
    <w:name w:val="标题 2 字符"/>
    <w:basedOn w:val="7"/>
    <w:link w:val="3"/>
    <w:qFormat/>
    <w:uiPriority w:val="9"/>
    <w:rPr>
      <w:rFonts w:ascii="黑体" w:hAnsi="黑体" w:eastAsia="黑体" w:cs="黑体"/>
      <w:b/>
      <w:bCs/>
      <w:kern w:val="0"/>
      <w:sz w:val="24"/>
      <w:szCs w:val="24"/>
      <w:lang w:eastAsia="en-US"/>
    </w:rPr>
  </w:style>
  <w:style w:type="table" w:customStyle="1" w:styleId="9">
    <w:name w:val="Table Normal"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正文文本 字符"/>
    <w:basedOn w:val="7"/>
    <w:link w:val="5"/>
    <w:uiPriority w:val="1"/>
    <w:rPr>
      <w:rFonts w:ascii="仿宋_GB2312" w:hAnsi="仿宋_GB2312" w:eastAsia="仿宋_GB2312" w:cs="仿宋_GB2312"/>
      <w:kern w:val="0"/>
      <w:sz w:val="24"/>
      <w:szCs w:val="24"/>
      <w:lang w:eastAsia="en-US"/>
    </w:rPr>
  </w:style>
  <w:style w:type="paragraph" w:customStyle="1" w:styleId="11">
    <w:name w:val="Table Paragraph"/>
    <w:basedOn w:val="1"/>
    <w:qFormat/>
    <w:uiPriority w:val="1"/>
  </w:style>
  <w:style w:type="character" w:customStyle="1" w:styleId="12">
    <w:name w:val="标题 1 字符"/>
    <w:basedOn w:val="7"/>
    <w:link w:val="2"/>
    <w:qFormat/>
    <w:uiPriority w:val="9"/>
    <w:rPr>
      <w:rFonts w:ascii="仿宋_GB2312" w:hAnsi="仿宋_GB2312" w:eastAsia="仿宋_GB2312" w:cs="仿宋_GB2312"/>
      <w:b/>
      <w:bCs/>
      <w:kern w:val="44"/>
      <w:sz w:val="44"/>
      <w:szCs w:val="44"/>
      <w:lang w:eastAsia="en-US"/>
    </w:rPr>
  </w:style>
  <w:style w:type="character" w:customStyle="1" w:styleId="13">
    <w:name w:val="标题 3 字符"/>
    <w:basedOn w:val="7"/>
    <w:link w:val="4"/>
    <w:qFormat/>
    <w:uiPriority w:val="9"/>
    <w:rPr>
      <w:rFonts w:ascii="仿宋_GB2312" w:hAnsi="仿宋_GB2312" w:eastAsia="仿宋_GB2312" w:cs="仿宋_GB2312"/>
      <w:b/>
      <w:bCs/>
      <w:kern w:val="0"/>
      <w:sz w:val="32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544</Words>
  <Characters>552</Characters>
  <Lines>6</Lines>
  <Paragraphs>1</Paragraphs>
  <TotalTime>83</TotalTime>
  <ScaleCrop>false</ScaleCrop>
  <LinksUpToDate>false</LinksUpToDate>
  <CharactersWithSpaces>557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2022-06-16T03:01:00Z</dcterms:created>
  <dc:creator>Administrator</dc:creator>
  <cp:lastModifiedBy>邓国云</cp:lastModifiedBy>
  <dcterms:modified xsi:type="dcterms:W3CDTF">2025-03-04T03:20:34Z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eyJoZGlkIjoiZDYwMWUwMzE4ZjM3M2RkM2VkMzcyZjk3MTkzMDU1OTIiLCJ1c2VySWQiOiIyNzAyNDU2NjYifQ==</vt:lpwstr>
  </property>
  <property fmtid="{D5CDD505-2E9C-101B-9397-08002B2CF9AE}" pid="3" name="KSOProductBuildVer">
    <vt:lpwstr>2052-12.1.0.20305</vt:lpwstr>
  </property>
  <property fmtid="{D5CDD505-2E9C-101B-9397-08002B2CF9AE}" pid="4" name="ICV">
    <vt:lpwstr>108326DA10F042BE9BD7669720BBA1D6_12</vt:lpwstr>
  </property>
</Properties>
</file>