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6A60" w14:textId="768B6B42"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BalloonTextChar"/>
          <w:rFonts w:ascii="Times New Roman" w:hAnsi="Times New Roman" w:cs="Times New Roman"/>
          <w:i/>
          <w:iCs/>
          <w:color w:val="333333"/>
          <w:sz w:val="28"/>
          <w:szCs w:val="28"/>
        </w:rPr>
        <w:t xml:space="preserve"> </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w:t>
      </w:r>
      <w:r w:rsidR="007E4378">
        <w:rPr>
          <w:rFonts w:ascii="Times New Roman" w:hAnsi="Times New Roman" w:cs="Times New Roman"/>
          <w:color w:val="333333"/>
          <w:sz w:val="28"/>
          <w:szCs w:val="28"/>
        </w:rPr>
        <w:lastRenderedPageBreak/>
        <w:t>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BodyText"/>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
          <w:b w:val="0"/>
          <w:bCs w:val="0"/>
          <w:color w:val="333333"/>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754AA6">
        <w:rPr>
          <w:rStyle w:val="a"/>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hyperlink r:id="rId9"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r w:rsidRPr="000437AB">
        <w:rPr>
          <w:sz w:val="28"/>
          <w:lang w:val="en-US"/>
        </w:rPr>
        <w:tab/>
        <w:t xml:space="preserve"> </w:t>
      </w:r>
      <w:hyperlink r:id="rId10" w:history="1">
        <w:r w:rsidRPr="000437AB">
          <w:rPr>
            <w:rStyle w:val="Hyperlink"/>
            <w:iCs/>
            <w:color w:val="000000" w:themeColor="text1"/>
            <w:sz w:val="28"/>
            <w:u w:val="none"/>
            <w:lang w:val="en-US"/>
          </w:rPr>
          <w:t>https://orcid.org/0000-0002-6202-2331</w:t>
        </w:r>
      </w:hyperlink>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Hyperlink"/>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hyperlink>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hyperlink r:id="rId13" w:history="1">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hyperlink>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37919EB5"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 xml:space="preserve">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w:t>
      </w:r>
      <w:proofErr w:type="gramStart"/>
      <w:r w:rsidR="00CE6BB3">
        <w:rPr>
          <w:sz w:val="28"/>
        </w:rPr>
        <w:t>двигателя</w:t>
      </w:r>
      <w:r w:rsidR="00107DF2" w:rsidRPr="00107DF2">
        <w:rPr>
          <w:sz w:val="28"/>
        </w:rPr>
        <w:t>[</w:t>
      </w:r>
      <w:proofErr w:type="gramEnd"/>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27C862E4" w:rsidR="00D84533" w:rsidRDefault="00D84533" w:rsidP="00754AA6">
      <w:pPr>
        <w:spacing w:line="360" w:lineRule="auto"/>
        <w:ind w:firstLine="708"/>
        <w:rPr>
          <w:sz w:val="28"/>
        </w:rPr>
      </w:pPr>
    </w:p>
    <w:p w14:paraId="4D867DA0" w14:textId="3B8E30D4" w:rsidR="00DD403E" w:rsidRDefault="00DD403E" w:rsidP="00754AA6">
      <w:pPr>
        <w:spacing w:line="360" w:lineRule="auto"/>
        <w:ind w:firstLine="708"/>
        <w:rPr>
          <w:sz w:val="28"/>
        </w:rPr>
      </w:pPr>
    </w:p>
    <w:p w14:paraId="58F3F65A" w14:textId="77777777" w:rsidR="00DD403E" w:rsidRPr="0004036F" w:rsidRDefault="00DD403E" w:rsidP="00754AA6">
      <w:pPr>
        <w:spacing w:line="360" w:lineRule="auto"/>
        <w:ind w:firstLine="708"/>
        <w:rPr>
          <w:sz w:val="28"/>
        </w:rPr>
      </w:pPr>
    </w:p>
    <w:p w14:paraId="57A376FA" w14:textId="60F13F92" w:rsidR="00551F64" w:rsidRPr="00957181" w:rsidRDefault="00957181" w:rsidP="00DD403E">
      <w:pPr>
        <w:spacing w:line="360" w:lineRule="auto"/>
        <w:rPr>
          <w:b/>
          <w:bCs/>
          <w:sz w:val="28"/>
        </w:rPr>
      </w:pPr>
      <w:r>
        <w:rPr>
          <w:b/>
          <w:bCs/>
          <w:sz w:val="28"/>
        </w:rPr>
        <w:lastRenderedPageBreak/>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6C9F4ABA"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1A538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lastRenderedPageBreak/>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49EB740D" w14:textId="29276270"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E30676A" w14:textId="296F2AC4"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460E1D57" w14:textId="2956DE05"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lastRenderedPageBreak/>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1A538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4BF1B406" w14:textId="7E46AFDC" w:rsidR="00C32D39" w:rsidRPr="00911BAE"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Pr="00911BAE">
        <w:rPr>
          <w:sz w:val="28"/>
        </w:rPr>
        <w:t xml:space="preserve"> период</w:t>
      </w:r>
      <w:r w:rsidR="00722E27" w:rsidRPr="00911BAE">
        <w:rPr>
          <w:sz w:val="28"/>
        </w:rPr>
        <w:t>ах</w:t>
      </w:r>
      <w:r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w:t>
      </w:r>
      <w:r w:rsidR="00DD403E">
        <w:rPr>
          <w:sz w:val="28"/>
        </w:rPr>
        <w:t>4</w:t>
      </w:r>
      <w:r w:rsidR="00722E27" w:rsidRPr="00911BAE">
        <w:rPr>
          <w:sz w:val="28"/>
        </w:rPr>
        <w:t>)</w:t>
      </w:r>
      <w:r w:rsidRPr="00911BAE">
        <w:rPr>
          <w:sz w:val="28"/>
        </w:rPr>
        <w:t>.</w:t>
      </w:r>
      <w:r w:rsidR="00C32D39" w:rsidRPr="00911BAE">
        <w:rPr>
          <w:sz w:val="28"/>
        </w:rPr>
        <w:t xml:space="preserve"> </w:t>
      </w:r>
      <w:r w:rsidR="00C32D39"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w:t>
      </w:r>
      <w:r w:rsidR="00F158B5" w:rsidRPr="00911BAE">
        <w:rPr>
          <w:sz w:val="28"/>
        </w:rPr>
        <w:lastRenderedPageBreak/>
        <w:t>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w:t>
      </w:r>
      <w:proofErr w:type="gramStart"/>
      <w:r w:rsidR="00257BCF">
        <w:rPr>
          <w:sz w:val="28"/>
        </w:rPr>
        <w:t xml:space="preserve">воздействия </w:t>
      </w:r>
      <w:r w:rsidRPr="00911BAE">
        <w:rPr>
          <w:sz w:val="28"/>
        </w:rPr>
        <w:t xml:space="preserve"> измерительного</w:t>
      </w:r>
      <w:proofErr w:type="gramEnd"/>
      <w:r w:rsidRPr="00911BAE">
        <w:rPr>
          <w:sz w:val="28"/>
        </w:rPr>
        <w:t xml:space="preserve">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/Δt,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675216CD"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На рисунке </w:t>
      </w:r>
      <w:r w:rsidR="00C14716">
        <w:rPr>
          <w:sz w:val="28"/>
        </w:rPr>
        <w:t>6</w:t>
      </w:r>
      <w:r w:rsidRPr="00911BAE">
        <w:rPr>
          <w:sz w:val="28"/>
        </w:rPr>
        <w:t xml:space="preserve"> представлен график момента измерительного маховика, соответствующего такому зако</w:t>
      </w:r>
      <w:r w:rsidR="006C091A">
        <w:rPr>
          <w:sz w:val="28"/>
        </w:rPr>
        <w:t>ну изменения скорости маховика.</w:t>
      </w:r>
    </w:p>
    <w:p w14:paraId="0C26835F" w14:textId="2CB32408" w:rsidR="000164A9" w:rsidRPr="00911BAE" w:rsidRDefault="000164A9" w:rsidP="00754AA6">
      <w:pPr>
        <w:tabs>
          <w:tab w:val="left" w:pos="1380"/>
        </w:tabs>
        <w:spacing w:line="360" w:lineRule="auto"/>
        <w:jc w:val="center"/>
        <w:rPr>
          <w:sz w:val="28"/>
        </w:rPr>
      </w:pPr>
    </w:p>
    <w:p w14:paraId="48A123D6" w14:textId="4601CCA7" w:rsidR="000164A9" w:rsidRDefault="000164A9" w:rsidP="00754AA6">
      <w:pPr>
        <w:tabs>
          <w:tab w:val="left" w:pos="1380"/>
        </w:tabs>
        <w:spacing w:line="360" w:lineRule="auto"/>
        <w:rPr>
          <w:sz w:val="28"/>
        </w:rPr>
      </w:pPr>
      <w:r w:rsidRPr="00911BAE">
        <w:rPr>
          <w:sz w:val="28"/>
        </w:rPr>
        <w:tab/>
        <w:t xml:space="preserve">График на рисунке 6 может служить основой для генерации задания контура управления по скорости поворота измерительного </w:t>
      </w:r>
      <w:r w:rsidRPr="00911BAE">
        <w:rPr>
          <w:sz w:val="28"/>
        </w:rPr>
        <w:lastRenderedPageBreak/>
        <w:t>маховика. На рисунке 7 представлен график момента измерительного маховика.</w:t>
      </w:r>
    </w:p>
    <w:p w14:paraId="4E150E6A" w14:textId="116CE23D" w:rsidR="009B37DD" w:rsidRDefault="009B37DD" w:rsidP="00754AA6">
      <w:pPr>
        <w:tabs>
          <w:tab w:val="left" w:pos="1380"/>
        </w:tabs>
        <w:spacing w:line="360" w:lineRule="auto"/>
        <w:rPr>
          <w:sz w:val="28"/>
        </w:rPr>
      </w:pPr>
    </w:p>
    <w:p w14:paraId="5C5C1451" w14:textId="7E32E3A6"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1829FDA1" w:rsidR="00D167A5" w:rsidRDefault="00D167A5" w:rsidP="00754AA6">
      <w:pPr>
        <w:tabs>
          <w:tab w:val="left" w:pos="1380"/>
        </w:tabs>
        <w:spacing w:line="360" w:lineRule="auto"/>
        <w:rPr>
          <w:sz w:val="28"/>
        </w:rPr>
      </w:pPr>
      <w:r w:rsidRPr="00D167A5">
        <w:rPr>
          <w:sz w:val="28"/>
        </w:rPr>
        <w:t xml:space="preserve">Стенд (рисунок </w:t>
      </w:r>
      <w:r w:rsidR="00C14716">
        <w:rPr>
          <w:sz w:val="28"/>
        </w:rPr>
        <w:t>7</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013A6E96" w14:textId="362454E5" w:rsidR="00D84533" w:rsidRDefault="0051327B" w:rsidP="00B20123">
      <w:pPr>
        <w:spacing w:line="360" w:lineRule="auto"/>
        <w:ind w:firstLine="708"/>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w:t>
      </w:r>
      <w:r w:rsidR="005E501C">
        <w:rPr>
          <w:sz w:val="28"/>
          <w:szCs w:val="32"/>
        </w:rPr>
        <w:t>7</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5E501C">
        <w:rPr>
          <w:sz w:val="28"/>
          <w:szCs w:val="32"/>
        </w:rPr>
        <w:t>7</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C14716">
        <w:rPr>
          <w:sz w:val="28"/>
          <w:szCs w:val="32"/>
        </w:rPr>
        <w:t>8</w:t>
      </w:r>
      <w:r w:rsidR="00B1088F">
        <w:rPr>
          <w:sz w:val="28"/>
          <w:szCs w:val="32"/>
        </w:rPr>
        <w:t>.</w:t>
      </w: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w:t>
      </w:r>
      <w:r w:rsidR="00EE7498" w:rsidRPr="00911BAE">
        <w:rPr>
          <w:bCs/>
          <w:sz w:val="28"/>
          <w:szCs w:val="28"/>
        </w:rPr>
        <w:lastRenderedPageBreak/>
        <w:t xml:space="preserve">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4D714229" w14:textId="0287AF1D" w:rsidR="00B20123"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2A559F76" w14:textId="77777777" w:rsidR="00B20123" w:rsidRDefault="00B20123">
      <w:pPr>
        <w:rPr>
          <w:rFonts w:eastAsiaTheme="minorEastAsia"/>
          <w:sz w:val="28"/>
        </w:rPr>
      </w:pPr>
      <w:r>
        <w:rPr>
          <w:rFonts w:eastAsiaTheme="minorEastAsia"/>
          <w:sz w:val="28"/>
        </w:rPr>
        <w:br w:type="page"/>
      </w:r>
    </w:p>
    <w:p w14:paraId="2F26E764" w14:textId="77777777" w:rsidR="00622619" w:rsidRPr="00622619" w:rsidRDefault="00622619" w:rsidP="00754AA6">
      <w:pPr>
        <w:pStyle w:val="150"/>
        <w:spacing w:line="360" w:lineRule="auto"/>
        <w:rPr>
          <w:rFonts w:eastAsiaTheme="minorEastAsia"/>
          <w:sz w:val="28"/>
          <w:szCs w:val="28"/>
        </w:rPr>
      </w:pP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4"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15"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6"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17"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lastRenderedPageBreak/>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18"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D4D9D90" w14:textId="181C6BD5" w:rsidR="00426619" w:rsidRDefault="00426619" w:rsidP="00754AA6">
      <w:pPr>
        <w:pStyle w:val="ListParagraph"/>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ListParagraph"/>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50C"/>
    <w:rsid w:val="001A2B69"/>
    <w:rsid w:val="001A4D0A"/>
    <w:rsid w:val="001A5386"/>
    <w:rsid w:val="001D05AA"/>
    <w:rsid w:val="001D7541"/>
    <w:rsid w:val="001E244B"/>
    <w:rsid w:val="001F403A"/>
    <w:rsid w:val="00205534"/>
    <w:rsid w:val="00221EE6"/>
    <w:rsid w:val="00225A34"/>
    <w:rsid w:val="00225BA4"/>
    <w:rsid w:val="00232C23"/>
    <w:rsid w:val="002334DF"/>
    <w:rsid w:val="00243C43"/>
    <w:rsid w:val="00244D7F"/>
    <w:rsid w:val="00257BCF"/>
    <w:rsid w:val="00267F11"/>
    <w:rsid w:val="002921D1"/>
    <w:rsid w:val="002A5B3D"/>
    <w:rsid w:val="0030003C"/>
    <w:rsid w:val="00322303"/>
    <w:rsid w:val="00347AEE"/>
    <w:rsid w:val="003551C9"/>
    <w:rsid w:val="00392DD6"/>
    <w:rsid w:val="003B324A"/>
    <w:rsid w:val="003B4C82"/>
    <w:rsid w:val="003C1AFF"/>
    <w:rsid w:val="003E0A9E"/>
    <w:rsid w:val="003E0D6D"/>
    <w:rsid w:val="003E27F5"/>
    <w:rsid w:val="003F3868"/>
    <w:rsid w:val="00404F50"/>
    <w:rsid w:val="00421A4F"/>
    <w:rsid w:val="00426619"/>
    <w:rsid w:val="00445459"/>
    <w:rsid w:val="00467AA7"/>
    <w:rsid w:val="00496B90"/>
    <w:rsid w:val="004A0683"/>
    <w:rsid w:val="004A08EC"/>
    <w:rsid w:val="004C6B4F"/>
    <w:rsid w:val="004F4D54"/>
    <w:rsid w:val="004F5FCC"/>
    <w:rsid w:val="005030E7"/>
    <w:rsid w:val="0051327B"/>
    <w:rsid w:val="005500D6"/>
    <w:rsid w:val="00550144"/>
    <w:rsid w:val="00551F64"/>
    <w:rsid w:val="005536D4"/>
    <w:rsid w:val="005A20A6"/>
    <w:rsid w:val="005C275A"/>
    <w:rsid w:val="005E501C"/>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B1088F"/>
    <w:rsid w:val="00B20123"/>
    <w:rsid w:val="00B20D9B"/>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726B5"/>
    <w:rsid w:val="00C8334A"/>
    <w:rsid w:val="00C95C3F"/>
    <w:rsid w:val="00CA169E"/>
    <w:rsid w:val="00CA41F9"/>
    <w:rsid w:val="00CA6930"/>
    <w:rsid w:val="00CB000C"/>
    <w:rsid w:val="00CE3B62"/>
    <w:rsid w:val="00CE6AFD"/>
    <w:rsid w:val="00CE6BB3"/>
    <w:rsid w:val="00CF281A"/>
    <w:rsid w:val="00D03BC2"/>
    <w:rsid w:val="00D11660"/>
    <w:rsid w:val="00D167A5"/>
    <w:rsid w:val="00D45804"/>
    <w:rsid w:val="00D80791"/>
    <w:rsid w:val="00D82CDF"/>
    <w:rsid w:val="00D84533"/>
    <w:rsid w:val="00D863AE"/>
    <w:rsid w:val="00D9017F"/>
    <w:rsid w:val="00D959AB"/>
    <w:rsid w:val="00DA1652"/>
    <w:rsid w:val="00DD403E"/>
    <w:rsid w:val="00DF052B"/>
    <w:rsid w:val="00E20A1C"/>
    <w:rsid w:val="00E2245B"/>
    <w:rsid w:val="00E25162"/>
    <w:rsid w:val="00E26929"/>
    <w:rsid w:val="00E3564A"/>
    <w:rsid w:val="00E46B84"/>
    <w:rsid w:val="00E5183B"/>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styleId="UnresolvedMention">
    <w:name w:val="Unresolved Mention"/>
    <w:basedOn w:val="DefaultParagraphFont"/>
    <w:uiPriority w:val="99"/>
    <w:semiHidden/>
    <w:unhideWhenUsed/>
    <w:rsid w:val="0075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hyperlink" Target="https://doi.org/10.1016/j.actaastro.2019.04.036" TargetMode="External"/><Relationship Id="rId3" Type="http://schemas.openxmlformats.org/officeDocument/2006/relationships/styles" Target="styles.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hyperlink" Target="https://doi.org/10.1016/j.ast.2020.106105" TargetMode="External"/><Relationship Id="rId2" Type="http://schemas.openxmlformats.org/officeDocument/2006/relationships/numbering" Target="numbering.xml"/><Relationship Id="rId16" Type="http://schemas.openxmlformats.org/officeDocument/2006/relationships/hyperlink" Target="https://doi.org/10.1002/asjc.26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5" Type="http://schemas.openxmlformats.org/officeDocument/2006/relationships/webSettings" Target="webSettings.xml"/><Relationship Id="rId15" Type="http://schemas.openxmlformats.org/officeDocument/2006/relationships/hyperlink" Target="https://doi.org/10.1177/10775463221125628" TargetMode="External"/><Relationship Id="rId10" Type="http://schemas.openxmlformats.org/officeDocument/2006/relationships/hyperlink" Target="https://orcid.org/0000-0002-6202-23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hyperlink" Target="https://doi.org/10.1016/j.aei.2022.1016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5A89-2C51-481D-BF57-0362211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2695</Words>
  <Characters>15366</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13</cp:revision>
  <cp:lastPrinted>2023-02-20T07:38:00Z</cp:lastPrinted>
  <dcterms:created xsi:type="dcterms:W3CDTF">2023-02-20T07:23:00Z</dcterms:created>
  <dcterms:modified xsi:type="dcterms:W3CDTF">2023-02-24T11:31:00Z</dcterms:modified>
</cp:coreProperties>
</file>