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 xml:space="preserve">宠物苦苹果喷雾 </w:t>
      </w:r>
      <w:r>
        <w:rPr/>
        <w:t>· Amazon</w:t>
      </w:r>
      <w:r>
        <w:rPr/>
        <w:t>美国站选品分析报告</w:t>
      </w:r>
    </w:p>
    <w:p>
      <w:pPr>
        <w:pStyle w:val="Heading2"/>
        <w:bidi w:val="0"/>
        <w:rPr/>
      </w:pPr>
      <w:r>
        <w:rPr/>
        <w:t xml:space="preserve">宠物苦苹果喷雾 </w:t>
      </w:r>
      <w:r>
        <w:rPr/>
        <w:t>· Amazon</w:t>
      </w:r>
      <w:r>
        <w:rPr/>
        <w:t>美国站选品分析报告</w:t>
      </w:r>
    </w:p>
    <w:p>
      <w:pPr>
        <w:pStyle w:val="BodyText"/>
        <w:bidi w:val="0"/>
        <w:rPr/>
      </w:pPr>
      <w:r>
        <w:rPr/>
        <w:t xml:space="preserve">&gt; </w:t>
      </w:r>
      <w:r>
        <w:rPr/>
        <w:t>报告状态：预备｜数据截止：</w:t>
      </w:r>
      <w:r>
        <w:rPr/>
        <w:t>2026-08-17</w:t>
      </w:r>
      <w:r>
        <w:rPr/>
        <w:t>｜目标平台：</w:t>
      </w:r>
      <w:r>
        <w:rPr/>
        <w:t>Amazon</w:t>
      </w:r>
      <w:r>
        <w:rPr/>
        <w:t>美国站｜履约：</w:t>
      </w:r>
      <w:r>
        <w:rPr/>
        <w:t>FBA</w:t>
      </w:r>
      <w:r>
        <w:rPr/>
        <w:t>｜币种：</w:t>
      </w:r>
      <w:r>
        <w:rPr/>
        <w:t>USD</w:t>
      </w:r>
    </w:p>
    <w:p>
      <w:pPr>
        <w:pStyle w:val="BodyText"/>
        <w:bidi w:val="0"/>
        <w:rPr/>
      </w:pPr>
      <w:r>
        <w:rPr/>
        <w:t xml:space="preserve">&gt; </w:t>
      </w:r>
      <w:r>
        <w:rPr/>
        <w:t>说明：所有“待验证”字段均未被系统事实包证实，不能据此推导确定性市场、合规或利润结论。</w:t>
      </w:r>
    </w:p>
    <w:p>
      <w:pPr>
        <w:pStyle w:val="Heading3"/>
        <w:bidi w:val="0"/>
        <w:rPr/>
      </w:pPr>
      <w:r>
        <w:rPr/>
        <w:t>第一部分：本品基础信息解析</w:t>
      </w:r>
    </w:p>
    <w:p>
      <w:pPr>
        <w:pStyle w:val="Heading4"/>
        <w:bidi w:val="0"/>
        <w:rPr/>
      </w:pPr>
      <w:r>
        <w:rPr/>
        <w:t>本品基础信息表</w:t>
      </w:r>
    </w:p>
    <w:tbl>
      <w:tblPr>
        <w:tblW w:w="4088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651"/>
        <w:gridCol w:w="1067"/>
        <w:gridCol w:w="928"/>
        <w:gridCol w:w="1442"/>
      </w:tblGrid>
      <w:tr>
        <w:trPr>
          <w:tblHeader w:val="true"/>
        </w:trPr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信息分类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明细项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本品数据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备注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货源基础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 xml:space="preserve">商品链接 </w:t>
            </w:r>
            <w:r>
              <w:rPr/>
              <w:t xml:space="preserve">/ </w:t>
            </w:r>
            <w:r>
              <w:rPr/>
              <w:t>产品图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 xml:space="preserve">30ml | </w:t>
            </w:r>
            <w:r>
              <w:rPr/>
              <w:t>单瓶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来源：</w:t>
            </w:r>
            <w:r>
              <w:rPr/>
              <w:t xml:space="preserve">1688 </w:t>
            </w:r>
            <w:r>
              <w:rPr/>
              <w:t>商品页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货源基础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采购单价、起订量、交期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产品参数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材质、产品尺寸、净重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规格：</w:t>
            </w:r>
            <w:r>
              <w:rPr/>
              <w:t xml:space="preserve">30ml </w:t>
            </w:r>
            <w:r>
              <w:rPr/>
              <w:t>单瓶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产品参数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包装尺寸、毛重、装箱数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产品参数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款式、颜色、变体数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规格：</w:t>
            </w:r>
            <w:r>
              <w:rPr/>
              <w:t xml:space="preserve">30ml </w:t>
            </w:r>
            <w:r>
              <w:rPr/>
              <w:t>单瓶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来源：</w:t>
            </w:r>
            <w:r>
              <w:rPr/>
              <w:t xml:space="preserve">1688 </w:t>
            </w:r>
            <w:r>
              <w:rPr/>
              <w:t>商品页属性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需求价值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可解决核心痛点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分析师补充；无证据不得写成事实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需求价值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用户核心购买理由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分析师补充；无证据不得写成事实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本品自评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核心优势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来源：人工锁定</w:t>
            </w:r>
            <w:r>
              <w:rPr/>
              <w:t>/</w:t>
            </w:r>
            <w:r>
              <w:rPr/>
              <w:t>商品图片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本品自评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现存劣势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待与</w:t>
            </w:r>
            <w:r>
              <w:rPr/>
              <w:t>DIRECT</w:t>
            </w:r>
            <w:r>
              <w:rPr/>
              <w:t>样本比较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证据状态</w:t>
            </w:r>
          </w:p>
        </w:tc>
        <w:tc>
          <w:tcPr>
            <w:tcW w:w="106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身份与信息完整性</w:t>
            </w:r>
          </w:p>
        </w:tc>
        <w:tc>
          <w:tcPr>
            <w:tcW w:w="9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系统锁定商品身份</w:t>
            </w:r>
          </w:p>
        </w:tc>
      </w:tr>
    </w:tbl>
    <w:p>
      <w:pPr>
        <w:pStyle w:val="Heading3"/>
        <w:bidi w:val="0"/>
        <w:rPr/>
      </w:pPr>
      <w:r>
        <w:rPr/>
        <w:t>第二部分：目标平台细分市场大盘调研</w:t>
      </w:r>
    </w:p>
    <w:p>
      <w:pPr>
        <w:pStyle w:val="Heading4"/>
        <w:bidi w:val="0"/>
        <w:rPr/>
      </w:pPr>
      <w:r>
        <w:rPr/>
        <w:t xml:space="preserve">2.1 </w:t>
      </w:r>
      <w:r>
        <w:rPr/>
        <w:t>细分市场大盘数据</w:t>
      </w:r>
    </w:p>
    <w:tbl>
      <w:tblPr>
        <w:tblW w:w="4884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1718"/>
        <w:gridCol w:w="637"/>
        <w:gridCol w:w="637"/>
        <w:gridCol w:w="1892"/>
      </w:tblGrid>
      <w:tr>
        <w:trPr>
          <w:tblHeader w:val="true"/>
        </w:trPr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统计指标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大盘数据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区间分布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市场判断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DIRECT</w:t>
            </w:r>
            <w:r>
              <w:rPr/>
              <w:t>样本数量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待补数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三组检索词成功率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检索覆盖达成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DIRECT</w:t>
            </w:r>
            <w:r>
              <w:rPr/>
              <w:t>价格</w:t>
            </w:r>
            <w:r>
              <w:rPr/>
              <w:t>/</w:t>
            </w:r>
            <w:r>
              <w:rPr/>
              <w:t>评分</w:t>
            </w:r>
            <w:r>
              <w:rPr/>
              <w:t>/</w:t>
            </w:r>
            <w:r>
              <w:rPr/>
              <w:t>评论字段覆盖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字段覆盖不足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样本完整率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购买信号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仅为搜索页购买徽标，不得改写为精确月销量</w:t>
            </w:r>
          </w:p>
        </w:tc>
      </w:tr>
      <w:tr>
        <w:trPr/>
        <w:tc>
          <w:tcPr>
            <w:tcW w:w="17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数据源状态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89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待验证</w:t>
            </w:r>
          </w:p>
        </w:tc>
      </w:tr>
    </w:tbl>
    <w:p>
      <w:pPr>
        <w:pStyle w:val="Heading4"/>
        <w:bidi w:val="0"/>
        <w:rPr/>
      </w:pPr>
      <w:r>
        <w:rPr/>
        <w:t xml:space="preserve">2.2 </w:t>
      </w:r>
      <w:r>
        <w:rPr/>
        <w:t>类目推荐</w:t>
      </w:r>
    </w:p>
    <w:tbl>
      <w:tblPr>
        <w:tblW w:w="4417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651"/>
        <w:gridCol w:w="637"/>
        <w:gridCol w:w="637"/>
        <w:gridCol w:w="637"/>
        <w:gridCol w:w="1483"/>
        <w:gridCol w:w="372"/>
      </w:tblGrid>
      <w:tr>
        <w:trPr>
          <w:tblHeader w:val="true"/>
        </w:trPr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推荐类目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类目路径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推荐理由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竞争程度</w:t>
            </w:r>
          </w:p>
        </w:tc>
        <w:tc>
          <w:tcPr>
            <w:tcW w:w="148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机会判断</w:t>
            </w:r>
          </w:p>
        </w:tc>
        <w:tc>
          <w:tcPr>
            <w:tcW w:w="37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备注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8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候选，待实际</w:t>
            </w:r>
            <w:r>
              <w:rPr/>
              <w:t>Listing</w:t>
            </w:r>
            <w:r>
              <w:rPr/>
              <w:t>类目确认</w:t>
            </w:r>
          </w:p>
        </w:tc>
        <w:tc>
          <w:tcPr>
            <w:tcW w:w="37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待验证</w:t>
            </w:r>
          </w:p>
        </w:tc>
      </w:tr>
    </w:tbl>
    <w:p>
      <w:pPr>
        <w:pStyle w:val="Heading4"/>
        <w:bidi w:val="0"/>
        <w:rPr/>
      </w:pPr>
      <w:r>
        <w:rPr/>
        <w:t xml:space="preserve">2.3 </w:t>
      </w:r>
      <w:r>
        <w:rPr/>
        <w:t>合规与</w:t>
      </w:r>
      <w:r>
        <w:rPr/>
        <w:t>IP</w:t>
      </w:r>
      <w:r>
        <w:rPr/>
        <w:t>风险</w:t>
      </w:r>
    </w:p>
    <w:tbl>
      <w:tblPr>
        <w:tblW w:w="4380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720"/>
        <w:gridCol w:w="675"/>
        <w:gridCol w:w="1337"/>
        <w:gridCol w:w="996"/>
        <w:gridCol w:w="652"/>
      </w:tblGrid>
      <w:tr>
        <w:trPr>
          <w:tblHeader w:val="true"/>
        </w:trPr>
        <w:tc>
          <w:tcPr>
            <w:tcW w:w="7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核验项</w:t>
            </w:r>
          </w:p>
        </w:tc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本品情况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平台</w:t>
            </w:r>
            <w:r>
              <w:rPr/>
              <w:t>/</w:t>
            </w:r>
            <w:r>
              <w:rPr/>
              <w:t>法规要求</w:t>
            </w:r>
          </w:p>
        </w:tc>
        <w:tc>
          <w:tcPr>
            <w:tcW w:w="99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证据与来源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处理建议</w:t>
            </w:r>
          </w:p>
        </w:tc>
      </w:tr>
      <w:tr>
        <w:trPr/>
        <w:tc>
          <w:tcPr>
            <w:tcW w:w="7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产品安全</w:t>
            </w:r>
            <w:r>
              <w:rPr/>
              <w:t>/</w:t>
            </w:r>
            <w:r>
              <w:rPr/>
              <w:t>标签</w:t>
            </w:r>
          </w:p>
        </w:tc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待核验目标市场标签及成分要求</w:t>
            </w:r>
          </w:p>
        </w:tc>
        <w:tc>
          <w:tcPr>
            <w:tcW w:w="99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来源：</w:t>
            </w:r>
            <w:r>
              <w:rPr/>
              <w:t xml:space="preserve">1688 </w:t>
            </w:r>
            <w:r>
              <w:rPr/>
              <w:t>商品页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人工核验</w:t>
            </w:r>
          </w:p>
        </w:tc>
      </w:tr>
      <w:tr>
        <w:trPr/>
        <w:tc>
          <w:tcPr>
            <w:tcW w:w="7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危险品</w:t>
            </w:r>
            <w:r>
              <w:rPr/>
              <w:t>/</w:t>
            </w:r>
            <w:r>
              <w:rPr/>
              <w:t>运输</w:t>
            </w:r>
          </w:p>
        </w:tc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液体</w:t>
            </w:r>
            <w:r>
              <w:rPr/>
              <w:t>/</w:t>
            </w:r>
            <w:r>
              <w:rPr/>
              <w:t>喷雾形态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待核验运输与</w:t>
            </w:r>
            <w:r>
              <w:rPr/>
              <w:t>FBA</w:t>
            </w:r>
            <w:r>
              <w:rPr/>
              <w:t>限制</w:t>
            </w:r>
          </w:p>
        </w:tc>
        <w:tc>
          <w:tcPr>
            <w:tcW w:w="99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来源：商品属性</w:t>
            </w:r>
            <w:r>
              <w:rPr/>
              <w:t>/</w:t>
            </w:r>
            <w:r>
              <w:rPr/>
              <w:t>详情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人工核验</w:t>
            </w:r>
          </w:p>
        </w:tc>
      </w:tr>
      <w:tr>
        <w:trPr/>
        <w:tc>
          <w:tcPr>
            <w:tcW w:w="7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商标</w:t>
            </w:r>
            <w:r>
              <w:rPr/>
              <w:t>/</w:t>
            </w:r>
            <w:r>
              <w:rPr/>
              <w:t>专利</w:t>
            </w:r>
            <w:r>
              <w:rPr/>
              <w:t>/IP</w:t>
            </w:r>
          </w:p>
        </w:tc>
        <w:tc>
          <w:tcPr>
            <w:tcW w:w="6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待检索</w:t>
            </w:r>
          </w:p>
        </w:tc>
        <w:tc>
          <w:tcPr>
            <w:tcW w:w="99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人工核验</w:t>
            </w:r>
          </w:p>
        </w:tc>
      </w:tr>
    </w:tbl>
    <w:p>
      <w:pPr>
        <w:pStyle w:val="Heading3"/>
        <w:bidi w:val="0"/>
        <w:rPr/>
      </w:pPr>
      <w:r>
        <w:rPr/>
        <w:t>第三部分：本品与核心竞品多维对比</w:t>
      </w:r>
    </w:p>
    <w:p>
      <w:pPr>
        <w:pStyle w:val="Heading4"/>
        <w:bidi w:val="0"/>
        <w:rPr/>
      </w:pPr>
      <w:r>
        <w:rPr/>
        <w:t>核心竞品对比表</w:t>
      </w:r>
    </w:p>
    <w:tbl>
      <w:tblPr>
        <w:tblW w:w="4215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724"/>
        <w:gridCol w:w="707"/>
        <w:gridCol w:w="445"/>
        <w:gridCol w:w="459"/>
        <w:gridCol w:w="457"/>
        <w:gridCol w:w="1423"/>
      </w:tblGrid>
      <w:tr>
        <w:trPr>
          <w:tblHeader w:val="true"/>
        </w:trPr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对比维度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本品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竞品</w:t>
            </w:r>
            <w:r>
              <w:rPr/>
              <w:t>1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竞品</w:t>
            </w:r>
            <w:r>
              <w:rPr/>
              <w:t>2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竞品</w:t>
            </w:r>
            <w:r>
              <w:rPr/>
              <w:t>3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结论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标题</w:t>
            </w:r>
            <w:r>
              <w:rPr/>
              <w:t>/ASIN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宠物苦苹果喷雾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DIRECT</w:t>
            </w:r>
            <w:r>
              <w:rPr/>
              <w:t>样本仅作可比竞品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标准化售价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待按零售单位复核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评分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系统抓取字段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评论量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系统抓取字段</w:t>
            </w:r>
          </w:p>
        </w:tc>
      </w:tr>
      <w:tr>
        <w:trPr/>
        <w:tc>
          <w:tcPr>
            <w:tcW w:w="72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差异化</w:t>
            </w:r>
            <w:r>
              <w:rPr/>
              <w:t>/</w:t>
            </w:r>
            <w:r>
              <w:rPr/>
              <w:t>痛点</w:t>
            </w:r>
          </w:p>
        </w:tc>
        <w:tc>
          <w:tcPr>
            <w:tcW w:w="70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42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待核验</w:t>
            </w:r>
          </w:p>
        </w:tc>
      </w:tr>
    </w:tbl>
    <w:p>
      <w:pPr>
        <w:pStyle w:val="Heading3"/>
        <w:bidi w:val="0"/>
        <w:rPr/>
      </w:pPr>
      <w:r>
        <w:rPr/>
        <w:t>第四部分：头部竞店竞争实力拆解</w:t>
      </w:r>
    </w:p>
    <w:p>
      <w:pPr>
        <w:pStyle w:val="Heading4"/>
        <w:bidi w:val="0"/>
        <w:rPr/>
      </w:pPr>
      <w:r>
        <w:rPr/>
        <w:t>头部竞店拆解表</w:t>
      </w:r>
    </w:p>
    <w:tbl>
      <w:tblPr>
        <w:tblW w:w="6101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716"/>
        <w:gridCol w:w="637"/>
        <w:gridCol w:w="497"/>
        <w:gridCol w:w="702"/>
        <w:gridCol w:w="982"/>
        <w:gridCol w:w="777"/>
        <w:gridCol w:w="637"/>
        <w:gridCol w:w="1153"/>
      </w:tblGrid>
      <w:tr>
        <w:trPr>
          <w:tblHeader w:val="true"/>
        </w:trPr>
        <w:tc>
          <w:tcPr>
            <w:tcW w:w="71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竞店</w:t>
            </w:r>
            <w:r>
              <w:rPr/>
              <w:t>/</w:t>
            </w:r>
            <w:r>
              <w:rPr/>
              <w:t>品牌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核心产品</w:t>
            </w:r>
          </w:p>
        </w:tc>
        <w:tc>
          <w:tcPr>
            <w:tcW w:w="4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价格带</w:t>
            </w:r>
          </w:p>
        </w:tc>
        <w:tc>
          <w:tcPr>
            <w:tcW w:w="7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评分</w:t>
            </w:r>
            <w:r>
              <w:rPr/>
              <w:t>/</w:t>
            </w:r>
            <w:r>
              <w:rPr/>
              <w:t>评论</w:t>
            </w:r>
          </w:p>
        </w:tc>
        <w:tc>
          <w:tcPr>
            <w:tcW w:w="98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流量</w:t>
            </w:r>
            <w:r>
              <w:rPr/>
              <w:t>/</w:t>
            </w:r>
            <w:r>
              <w:rPr/>
              <w:t>销量线索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差异化卖点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运营动作</w:t>
            </w:r>
          </w:p>
        </w:tc>
        <w:tc>
          <w:tcPr>
            <w:tcW w:w="11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可借鉴点</w:t>
            </w:r>
          </w:p>
        </w:tc>
      </w:tr>
      <w:tr>
        <w:trPr/>
        <w:tc>
          <w:tcPr>
            <w:tcW w:w="71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49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0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98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15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未取得</w:t>
            </w:r>
            <w:r>
              <w:rPr/>
              <w:t>DIRECT</w:t>
            </w:r>
            <w:r>
              <w:rPr/>
              <w:t>样本</w:t>
            </w:r>
          </w:p>
        </w:tc>
      </w:tr>
    </w:tbl>
    <w:p>
      <w:pPr>
        <w:pStyle w:val="Heading3"/>
        <w:bidi w:val="0"/>
        <w:rPr/>
      </w:pPr>
      <w:r>
        <w:rPr/>
        <w:t>第五部分：入市机会与盈利可行性判定</w:t>
      </w:r>
    </w:p>
    <w:p>
      <w:pPr>
        <w:pStyle w:val="Heading4"/>
        <w:bidi w:val="0"/>
        <w:rPr/>
      </w:pPr>
      <w:r>
        <w:rPr/>
        <w:t xml:space="preserve">5.1 </w:t>
      </w:r>
      <w:r>
        <w:rPr/>
        <w:t>利润测算表</w:t>
      </w:r>
    </w:p>
    <w:tbl>
      <w:tblPr>
        <w:tblW w:w="4110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884"/>
        <w:gridCol w:w="917"/>
        <w:gridCol w:w="777"/>
        <w:gridCol w:w="1532"/>
      </w:tblGrid>
      <w:tr>
        <w:trPr>
          <w:tblHeader w:val="true"/>
        </w:trPr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测算项目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快速市场口径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全成本口径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证据</w:t>
            </w:r>
            <w:r>
              <w:rPr/>
              <w:t>/</w:t>
            </w:r>
            <w:r>
              <w:rPr/>
              <w:t>说明</w:t>
            </w:r>
          </w:p>
        </w:tc>
      </w:tr>
      <w:tr>
        <w:trPr/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采购价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Amazon</w:t>
            </w:r>
            <w:r>
              <w:rPr/>
              <w:t>佣金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FBA</w:t>
            </w:r>
            <w:r>
              <w:rPr/>
              <w:t>履约费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广告</w:t>
            </w:r>
            <w:r>
              <w:rPr/>
              <w:t>/</w:t>
            </w:r>
            <w:r>
              <w:rPr/>
              <w:t>优惠券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系统预设或用户修改</w:t>
            </w:r>
          </w:p>
        </w:tc>
      </w:tr>
      <w:tr>
        <w:trPr/>
        <w:tc>
          <w:tcPr>
            <w:tcW w:w="88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全成本物流</w:t>
            </w:r>
            <w:r>
              <w:rPr/>
              <w:t>/</w:t>
            </w:r>
            <w:r>
              <w:rPr/>
              <w:t>税费</w:t>
            </w:r>
          </w:p>
        </w:tc>
        <w:tc>
          <w:tcPr>
            <w:tcW w:w="9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53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未知项不可按真实成本参与正向结论</w:t>
            </w:r>
          </w:p>
        </w:tc>
      </w:tr>
    </w:tbl>
    <w:p>
      <w:pPr>
        <w:pStyle w:val="Heading4"/>
        <w:bidi w:val="0"/>
        <w:rPr/>
      </w:pPr>
      <w:r>
        <w:rPr/>
        <w:t xml:space="preserve">5.2 </w:t>
      </w:r>
      <w:r>
        <w:rPr/>
        <w:t>入市机会评估表</w:t>
      </w:r>
    </w:p>
    <w:tbl>
      <w:tblPr>
        <w:tblW w:w="3388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651"/>
        <w:gridCol w:w="777"/>
        <w:gridCol w:w="357"/>
        <w:gridCol w:w="1603"/>
      </w:tblGrid>
      <w:tr>
        <w:trPr>
          <w:tblHeader w:val="true"/>
        </w:trPr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评估维度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证据与结果</w:t>
            </w:r>
          </w:p>
        </w:tc>
        <w:tc>
          <w:tcPr>
            <w:tcW w:w="3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风险</w:t>
            </w:r>
          </w:p>
        </w:tc>
        <w:tc>
          <w:tcPr>
            <w:tcW w:w="160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建议动作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市场样本基线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3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60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补齐三组检索词和</w:t>
            </w:r>
            <w:r>
              <w:rPr/>
              <w:t>DIRECT</w:t>
            </w:r>
            <w:r>
              <w:rPr/>
              <w:t>字段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差异化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3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待核验</w:t>
            </w:r>
          </w:p>
        </w:tc>
        <w:tc>
          <w:tcPr>
            <w:tcW w:w="160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提供样品</w:t>
            </w:r>
            <w:r>
              <w:rPr/>
              <w:t>/</w:t>
            </w:r>
            <w:r>
              <w:rPr/>
              <w:t>竞品对比</w:t>
            </w:r>
            <w:r>
              <w:rPr/>
              <w:t>/</w:t>
            </w:r>
            <w:r>
              <w:rPr/>
              <w:t>买家证据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合规</w:t>
            </w:r>
            <w:r>
              <w:rPr/>
              <w:t>/IP</w:t>
            </w:r>
          </w:p>
        </w:tc>
        <w:tc>
          <w:tcPr>
            <w:tcW w:w="77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3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待核验</w:t>
            </w:r>
          </w:p>
        </w:tc>
        <w:tc>
          <w:tcPr>
            <w:tcW w:w="160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完成官方检索与测试</w:t>
            </w:r>
            <w:r>
              <w:rPr/>
              <w:t>/</w:t>
            </w:r>
            <w:r>
              <w:rPr/>
              <w:t>标签核验</w:t>
            </w:r>
          </w:p>
        </w:tc>
      </w:tr>
    </w:tbl>
    <w:p>
      <w:pPr>
        <w:pStyle w:val="Heading4"/>
        <w:bidi w:val="0"/>
        <w:rPr/>
      </w:pPr>
      <w:r>
        <w:rPr/>
        <w:t xml:space="preserve">5.3 </w:t>
      </w:r>
      <w:r>
        <w:rPr/>
        <w:t>最终入市判定</w:t>
      </w:r>
    </w:p>
    <w:tbl>
      <w:tblPr>
        <w:tblW w:w="3936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721"/>
        <w:gridCol w:w="3215"/>
      </w:tblGrid>
      <w:tr>
        <w:trPr>
          <w:tblHeader w:val="true"/>
        </w:trPr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决策项</w:t>
            </w:r>
          </w:p>
        </w:tc>
        <w:tc>
          <w:tcPr>
            <w:tcW w:w="32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结论</w:t>
            </w:r>
          </w:p>
        </w:tc>
      </w:tr>
      <w:tr>
        <w:trPr/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系统入市结论</w:t>
            </w:r>
          </w:p>
        </w:tc>
        <w:tc>
          <w:tcPr>
            <w:tcW w:w="32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 xml:space="preserve">❓ </w:t>
            </w:r>
            <w:r>
              <w:rPr/>
              <w:t>数据不足，不能判定</w:t>
            </w:r>
          </w:p>
        </w:tc>
      </w:tr>
      <w:tr>
        <w:trPr/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目标贡献利润率</w:t>
            </w:r>
          </w:p>
        </w:tc>
        <w:tc>
          <w:tcPr>
            <w:tcW w:w="32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30</w:t>
            </w:r>
            <w:r>
              <w:rPr/>
              <w:t>天验证计划</w:t>
            </w:r>
          </w:p>
        </w:tc>
        <w:tc>
          <w:tcPr>
            <w:tcW w:w="32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补齐</w:t>
            </w:r>
            <w:r>
              <w:rPr/>
              <w:t>FBA</w:t>
            </w:r>
            <w:r>
              <w:rPr/>
              <w:t>、全成本、合规</w:t>
            </w:r>
            <w:r>
              <w:rPr/>
              <w:t>/IP</w:t>
            </w:r>
            <w:r>
              <w:rPr/>
              <w:t>和</w:t>
            </w:r>
            <w:r>
              <w:rPr/>
              <w:t>DIRECT</w:t>
            </w:r>
            <w:r>
              <w:rPr/>
              <w:t>样本，复算全成本贡献利润</w:t>
            </w:r>
          </w:p>
        </w:tc>
      </w:tr>
      <w:tr>
        <w:trPr/>
        <w:tc>
          <w:tcPr>
            <w:tcW w:w="72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停止条件</w:t>
            </w:r>
          </w:p>
        </w:tc>
        <w:tc>
          <w:tcPr>
            <w:tcW w:w="321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全成本贡献利润为负、合规</w:t>
            </w:r>
            <w:r>
              <w:rPr/>
              <w:t>/IP</w:t>
            </w:r>
            <w:r>
              <w:rPr/>
              <w:t>硬门禁失败或无法形成可核验差异化</w:t>
            </w:r>
          </w:p>
        </w:tc>
      </w:tr>
    </w:tbl>
    <w:p>
      <w:pPr>
        <w:pStyle w:val="Heading3"/>
        <w:bidi w:val="0"/>
        <w:rPr/>
      </w:pPr>
      <w:r>
        <w:rPr/>
        <w:t>第六部分：产品改良方案与长期市场机会</w:t>
      </w:r>
    </w:p>
    <w:p>
      <w:pPr>
        <w:pStyle w:val="Heading4"/>
        <w:bidi w:val="0"/>
        <w:rPr/>
      </w:pPr>
      <w:r>
        <w:rPr/>
        <w:t xml:space="preserve">6.1 </w:t>
      </w:r>
      <w:r>
        <w:rPr/>
        <w:t>本品改良优化清单表</w:t>
      </w:r>
    </w:p>
    <w:tbl>
      <w:tblPr>
        <w:tblW w:w="4751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834"/>
        <w:gridCol w:w="1400"/>
        <w:gridCol w:w="1228"/>
        <w:gridCol w:w="637"/>
        <w:gridCol w:w="652"/>
      </w:tblGrid>
      <w:tr>
        <w:trPr>
          <w:tblHeader w:val="true"/>
        </w:trPr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改良方向</w:t>
            </w:r>
          </w:p>
        </w:tc>
        <w:tc>
          <w:tcPr>
            <w:tcW w:w="14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具体优化方案</w:t>
            </w:r>
          </w:p>
        </w:tc>
        <w:tc>
          <w:tcPr>
            <w:tcW w:w="12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对应痛点</w:t>
            </w:r>
            <w:r>
              <w:rPr/>
              <w:t>/</w:t>
            </w:r>
            <w:r>
              <w:rPr/>
              <w:t>竞品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改造成本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预期效果</w:t>
            </w:r>
          </w:p>
        </w:tc>
      </w:tr>
      <w:tr>
        <w:trPr/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外观</w:t>
            </w:r>
            <w:r>
              <w:rPr/>
              <w:t>/</w:t>
            </w:r>
            <w:r>
              <w:rPr/>
              <w:t>结构改良</w:t>
            </w:r>
          </w:p>
        </w:tc>
        <w:tc>
          <w:tcPr>
            <w:tcW w:w="14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2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待与</w:t>
            </w:r>
            <w:r>
              <w:rPr/>
              <w:t>DIRECT</w:t>
            </w:r>
            <w:r>
              <w:rPr/>
              <w:t>竞品对比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规格</w:t>
            </w:r>
            <w:r>
              <w:rPr/>
              <w:t>/SKU</w:t>
            </w:r>
            <w:r>
              <w:rPr/>
              <w:t>拓展</w:t>
            </w:r>
          </w:p>
        </w:tc>
        <w:tc>
          <w:tcPr>
            <w:tcW w:w="14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12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待与</w:t>
            </w:r>
            <w:r>
              <w:rPr/>
              <w:t>DIRECT</w:t>
            </w:r>
            <w:r>
              <w:rPr/>
              <w:t>竞品对比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</w:tr>
      <w:tr>
        <w:trPr/>
        <w:tc>
          <w:tcPr>
            <w:tcW w:w="8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合规资质补齐</w:t>
            </w:r>
          </w:p>
        </w:tc>
        <w:tc>
          <w:tcPr>
            <w:tcW w:w="14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完成成分、标签、运输与</w:t>
            </w:r>
            <w:r>
              <w:rPr/>
              <w:t>IP</w:t>
            </w:r>
            <w:r>
              <w:rPr/>
              <w:t>核验</w:t>
            </w:r>
          </w:p>
        </w:tc>
        <w:tc>
          <w:tcPr>
            <w:tcW w:w="122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平台与法规要求</w:t>
            </w:r>
          </w:p>
        </w:tc>
        <w:tc>
          <w:tcPr>
            <w:tcW w:w="63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待验证</w:t>
            </w:r>
          </w:p>
        </w:tc>
        <w:tc>
          <w:tcPr>
            <w:tcW w:w="65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降低上架风险</w:t>
            </w:r>
          </w:p>
        </w:tc>
      </w:tr>
    </w:tbl>
    <w:p>
      <w:pPr>
        <w:pStyle w:val="Heading4"/>
        <w:bidi w:val="0"/>
        <w:rPr/>
      </w:pPr>
      <w:r>
        <w:rPr/>
        <w:t xml:space="preserve">6.2 </w:t>
      </w:r>
      <w:r>
        <w:rPr/>
        <w:t>长期市场机会</w:t>
      </w:r>
    </w:p>
    <w:tbl>
      <w:tblPr>
        <w:tblW w:w="3861" w:type="dxa"/>
        <w:jc w:val="start"/>
        <w:tblInd w:w="-15" w:type="dxa"/>
        <w:tblLayout w:type="fixed"/>
        <w:tblCellMar>
          <w:top w:w="105" w:type="dxa"/>
          <w:start w:w="120" w:type="dxa"/>
          <w:bottom w:w="105" w:type="dxa"/>
          <w:end w:w="120" w:type="dxa"/>
        </w:tblCellMar>
      </w:tblPr>
      <w:tblGrid>
        <w:gridCol w:w="651"/>
        <w:gridCol w:w="3210"/>
      </w:tblGrid>
      <w:tr>
        <w:trPr>
          <w:tblHeader w:val="true"/>
        </w:trPr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机会方向</w:t>
            </w:r>
          </w:p>
        </w:tc>
        <w:tc>
          <w:tcPr>
            <w:tcW w:w="3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Heading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验证与落地建议</w:t>
            </w:r>
          </w:p>
        </w:tc>
      </w:tr>
      <w:tr>
        <w:trPr/>
        <w:tc>
          <w:tcPr>
            <w:tcW w:w="6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ind w:hanging="0" w:start="0" w:end="0"/>
              <w:jc w:val="start"/>
              <w:rPr/>
            </w:pPr>
            <w:r>
              <w:rPr/>
              <w:t>细分需求机会</w:t>
            </w:r>
          </w:p>
        </w:tc>
        <w:tc>
          <w:tcPr>
            <w:tcW w:w="321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50"/>
              <w:jc w:val="start"/>
              <w:rPr/>
            </w:pPr>
            <w:r>
              <w:rPr/>
              <w:t>待完成</w:t>
            </w:r>
            <w:r>
              <w:rPr/>
              <w:t>30</w:t>
            </w:r>
            <w:r>
              <w:rPr/>
              <w:t>天验证后，以</w:t>
            </w:r>
            <w:r>
              <w:rPr/>
              <w:t>DIRECT</w:t>
            </w:r>
            <w:r>
              <w:rPr/>
              <w:t>价格、购买信号和全成本贡献利润复盘</w:t>
            </w:r>
          </w:p>
        </w:tc>
      </w:tr>
    </w:tbl>
    <w:p>
      <w:pPr>
        <w:pStyle w:val="Heading3"/>
        <w:bidi w:val="0"/>
        <w:rPr/>
      </w:pPr>
      <w:r>
        <w:rPr/>
        <w:t>报告结论与待办</w:t>
      </w:r>
    </w:p>
    <w:p>
      <w:pPr>
        <w:pStyle w:val="BodyText"/>
        <w:bidi w:val="0"/>
        <w:rPr/>
      </w:pPr>
      <w:r>
        <w:rPr/>
        <w:t xml:space="preserve">- </w:t>
      </w:r>
      <w:r>
        <w:rPr/>
        <w:t>系统入市结论：❓ 数据不足，不能判定</w:t>
      </w:r>
    </w:p>
    <w:p>
      <w:pPr>
        <w:pStyle w:val="BodyText"/>
        <w:bidi w:val="0"/>
        <w:spacing w:before="0" w:after="150"/>
        <w:rPr/>
      </w:pPr>
      <w:r>
        <w:rPr/>
        <w:t xml:space="preserve">- </w:t>
      </w:r>
      <w:r>
        <w:rPr/>
        <w:t>必做验证：补齐包装尺寸</w:t>
      </w:r>
      <w:r>
        <w:rPr/>
        <w:t>/</w:t>
      </w:r>
      <w:r>
        <w:rPr/>
        <w:t>毛重、</w:t>
      </w:r>
      <w:r>
        <w:rPr/>
        <w:t>Amazon FBA</w:t>
      </w:r>
      <w:r>
        <w:rPr/>
        <w:t>履约费、全成本物流税费区间、合规</w:t>
      </w:r>
      <w:r>
        <w:rPr/>
        <w:t>/IP</w:t>
      </w:r>
      <w:r>
        <w:rPr/>
        <w:t>检索，以及同一核心用途、同一形态、同一对象的</w:t>
      </w:r>
      <w:r>
        <w:rPr/>
        <w:t>DIRECT</w:t>
      </w:r>
      <w:r>
        <w:rPr/>
        <w:t>竞品证据。</w:t>
      </w:r>
    </w:p>
    <w:sectPr>
      <w:type w:val="nextPage"/>
      <w:pgSz w:orient="landscape" w:w="16838" w:h="11906"/>
      <w:pgMar w:left="680" w:right="680" w:gutter="0" w:header="0" w:top="680" w:footer="0" w:bottom="6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Menlo">
    <w:altName w:val="Consola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apple-system;BlinkMacSystemFont;Microsoft YaHei;sans-serif" w:hAnsi="apple-system;BlinkMacSystemFont;Microsoft YaHei;sans-serif" w:eastAsia="apple-system;BlinkMacSystemFont;Microsoft YaHei;sans-serif" w:cs="apple-system;BlinkMacSystemFont;Microsoft YaHei;sans-serif"/>
      <w:color w:val="202424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5" w:color="E5E8E8"/>
      </w:pBdr>
      <w:spacing w:before="420" w:after="150"/>
      <w:ind w:start="420" w:end="420"/>
      <w:outlineLvl w:val="1"/>
    </w:pPr>
    <w:rPr>
      <w:rFonts w:ascii="Liberation Serif" w:hAnsi="Liberation Serif" w:eastAsia="Linux Libertine G" w:cs="Noto 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300" w:after="120"/>
      <w:ind w:start="300" w:end="300"/>
      <w:outlineLvl w:val="2"/>
    </w:pPr>
    <w:rPr>
      <w:rFonts w:ascii="Liberation Serif" w:hAnsi="Liberation Serif" w:eastAsia="Linux Libertine G" w:cs="Noto Sans"/>
      <w:b/>
      <w:bCs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Linux Libertine G" w:cs="Noto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enlo;Consolas;monospace" w:hAnsi="Menlo;Consolas;monospace" w:eastAsia="Menlo;Consolas;monospace" w:cs="Menlo;Consolas;monospac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lineRule="auto" w:line="348"/>
      <w:jc w:val="start"/>
    </w:pPr>
    <w:rPr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0" w:after="150"/>
    </w:pPr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3F3F3" w:val="clear"/>
      <w:spacing w:lineRule="auto" w:line="348"/>
      <w:jc w:val="star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