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sz w:val="34"/>
          <w:szCs w:val="34"/>
        </w:rPr>
      </w:pPr>
      <w:bookmarkStart w:colFirst="0" w:colLast="0" w:name="_nio3g3ve3nj3" w:id="0"/>
      <w:bookmarkEnd w:id="0"/>
      <w:r w:rsidDel="00000000" w:rsidR="00000000" w:rsidRPr="00000000">
        <w:rPr>
          <w:b w:val="1"/>
          <w:sz w:val="34"/>
          <w:szCs w:val="34"/>
          <w:rtl w:val="0"/>
        </w:rPr>
        <w:t xml:space="preserve">Benefits of investing in technology in Africa </w:t>
      </w:r>
    </w:p>
    <w:p w:rsidR="00000000" w:rsidDel="00000000" w:rsidP="00000000" w:rsidRDefault="00000000" w:rsidRPr="00000000" w14:paraId="00000002">
      <w:pPr>
        <w:pStyle w:val="Heading2"/>
        <w:keepNext w:val="0"/>
        <w:keepLines w:val="0"/>
        <w:spacing w:after="80" w:lineRule="auto"/>
        <w:rPr>
          <w:color w:val="1155cc"/>
          <w:sz w:val="22"/>
          <w:szCs w:val="22"/>
          <w:u w:val="single"/>
        </w:rPr>
      </w:pPr>
      <w:bookmarkStart w:colFirst="0" w:colLast="0" w:name="_2axymiycn4ij" w:id="1"/>
      <w:bookmarkEnd w:id="1"/>
      <w:r w:rsidDel="00000000" w:rsidR="00000000" w:rsidRPr="00000000">
        <w:rPr>
          <w:sz w:val="22"/>
          <w:szCs w:val="22"/>
          <w:rtl w:val="0"/>
        </w:rPr>
        <w:t xml:space="preserve">Africa’s tech markets are scaling fast and are no longer “nascent.” Venture funding hit a record </w:t>
      </w:r>
      <w:r w:rsidDel="00000000" w:rsidR="00000000" w:rsidRPr="00000000">
        <w:rPr>
          <w:b w:val="1"/>
          <w:sz w:val="22"/>
          <w:szCs w:val="22"/>
          <w:rtl w:val="0"/>
        </w:rPr>
        <w:t xml:space="preserve">$5.2B in 2021</w:t>
      </w:r>
      <w:r w:rsidDel="00000000" w:rsidR="00000000" w:rsidRPr="00000000">
        <w:rPr>
          <w:sz w:val="22"/>
          <w:szCs w:val="22"/>
          <w:rtl w:val="0"/>
        </w:rPr>
        <w:t xml:space="preserve">, producing multiple unicorns and proving monetization at a continental scale -particularly in fintech and logistics- while big tech and DFIs expand cloud, cables, and data centers. For a research university like </w:t>
      </w:r>
      <w:r w:rsidDel="00000000" w:rsidR="00000000" w:rsidRPr="00000000">
        <w:rPr>
          <w:b w:val="1"/>
          <w:sz w:val="22"/>
          <w:szCs w:val="22"/>
          <w:rtl w:val="0"/>
        </w:rPr>
        <w:t xml:space="preserve">NJIT</w:t>
      </w:r>
      <w:r w:rsidDel="00000000" w:rsidR="00000000" w:rsidRPr="00000000">
        <w:rPr>
          <w:sz w:val="22"/>
          <w:szCs w:val="22"/>
          <w:rtl w:val="0"/>
        </w:rPr>
        <w:t xml:space="preserve">, this creates a high-impact collaboration space in mobile-first payments, AI for supply chains, and digital public infrastructure. The </w:t>
      </w:r>
      <w:r w:rsidDel="00000000" w:rsidR="00000000" w:rsidRPr="00000000">
        <w:rPr>
          <w:b w:val="1"/>
          <w:sz w:val="22"/>
          <w:szCs w:val="22"/>
          <w:rtl w:val="0"/>
        </w:rPr>
        <w:t xml:space="preserve">World Bank’s DE4A</w:t>
      </w:r>
      <w:r w:rsidDel="00000000" w:rsidR="00000000" w:rsidRPr="00000000">
        <w:rPr>
          <w:sz w:val="22"/>
          <w:szCs w:val="22"/>
          <w:rtl w:val="0"/>
        </w:rPr>
        <w:t xml:space="preserve"> program documents rapid gains in connectivity and a pipeline of national digitization projects, prime ground for applied research, student capstones, and dual-degree partnerships tied to real deployments. The demographic dividend (the world’s youngest population) further strengthens the talent pipeline for co-labs, internships, and joint entrepreneurship programs.</w:t>
      </w:r>
      <w:hyperlink r:id="rId6">
        <w:r w:rsidDel="00000000" w:rsidR="00000000" w:rsidRPr="00000000">
          <w:rPr>
            <w:color w:val="1155cc"/>
            <w:sz w:val="22"/>
            <w:szCs w:val="22"/>
            <w:u w:val="single"/>
            <w:rtl w:val="0"/>
          </w:rPr>
          <w:t xml:space="preserve"> World Bank</w:t>
        </w:r>
      </w:hyperlink>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Contextual innovation, solutions born from local constraints,also offers powerful reverse-innovation opportunities. Case studies highlighted by </w:t>
      </w:r>
      <w:r w:rsidDel="00000000" w:rsidR="00000000" w:rsidRPr="00000000">
        <w:rPr>
          <w:b w:val="1"/>
          <w:rtl w:val="0"/>
        </w:rPr>
        <w:t xml:space="preserve">CNBC</w:t>
      </w:r>
      <w:r w:rsidDel="00000000" w:rsidR="00000000" w:rsidRPr="00000000">
        <w:rPr>
          <w:rtl w:val="0"/>
        </w:rPr>
        <w:t xml:space="preserve"> (Kenya’s “Silicon Savanna,” iHub, and mobile money) and </w:t>
      </w:r>
      <w:r w:rsidDel="00000000" w:rsidR="00000000" w:rsidRPr="00000000">
        <w:rPr>
          <w:b w:val="1"/>
          <w:rtl w:val="0"/>
        </w:rPr>
        <w:t xml:space="preserve">McKinsey</w:t>
      </w:r>
      <w:r w:rsidDel="00000000" w:rsidR="00000000" w:rsidRPr="00000000">
        <w:rPr>
          <w:rtl w:val="0"/>
        </w:rPr>
        <w:t xml:space="preserve"> (continental fintech scaling across dozens of currencies and rails) show how Africa “leapfrogs” legacy systems; universities can co-design low-cost, high-resilience architectures that transfer globally (e.g., offline-tolerant apps, inclusive KYC, telco-grade USSD/QR). These partnerships align with NJIT’s global-engagement and inclusive-excellence mandates while building publishable datasets, shared IP, and field-tested prototypes that feed both scholarship and commercialization.</w:t>
      </w:r>
    </w:p>
    <w:p w:rsidR="00000000" w:rsidDel="00000000" w:rsidP="00000000" w:rsidRDefault="00000000" w:rsidRPr="00000000" w14:paraId="00000004">
      <w:pPr>
        <w:pStyle w:val="Heading2"/>
        <w:keepNext w:val="0"/>
        <w:keepLines w:val="0"/>
        <w:spacing w:after="80" w:lineRule="auto"/>
        <w:rPr>
          <w:b w:val="1"/>
          <w:sz w:val="34"/>
          <w:szCs w:val="34"/>
        </w:rPr>
      </w:pPr>
      <w:bookmarkStart w:colFirst="0" w:colLast="0" w:name="_ka9avacoarde" w:id="2"/>
      <w:bookmarkEnd w:id="2"/>
      <w:r w:rsidDel="00000000" w:rsidR="00000000" w:rsidRPr="00000000">
        <w:rPr>
          <w:b w:val="1"/>
          <w:sz w:val="34"/>
          <w:szCs w:val="34"/>
          <w:rtl w:val="0"/>
        </w:rPr>
        <w:t xml:space="preserve">Problems and issues to plan for</w:t>
      </w:r>
    </w:p>
    <w:p w:rsidR="00000000" w:rsidDel="00000000" w:rsidP="00000000" w:rsidRDefault="00000000" w:rsidRPr="00000000" w14:paraId="00000005">
      <w:pPr>
        <w:spacing w:after="240" w:before="240" w:lineRule="auto"/>
        <w:rPr>
          <w:color w:val="1155cc"/>
          <w:u w:val="single"/>
        </w:rPr>
      </w:pPr>
      <w:r w:rsidDel="00000000" w:rsidR="00000000" w:rsidRPr="00000000">
        <w:rPr>
          <w:rtl w:val="0"/>
        </w:rPr>
        <w:t xml:space="preserve">Three operational frictions dominate: infrastructure, affordability, and regulatory fragmentation. Even where </w:t>
      </w:r>
      <w:r w:rsidDel="00000000" w:rsidR="00000000" w:rsidRPr="00000000">
        <w:rPr>
          <w:b w:val="1"/>
          <w:rtl w:val="0"/>
        </w:rPr>
        <w:t xml:space="preserve">3G/4G coverage</w:t>
      </w:r>
      <w:r w:rsidDel="00000000" w:rsidR="00000000" w:rsidRPr="00000000">
        <w:rPr>
          <w:rtl w:val="0"/>
        </w:rPr>
        <w:t xml:space="preserve"> is broad, </w:t>
      </w:r>
      <w:r w:rsidDel="00000000" w:rsidR="00000000" w:rsidRPr="00000000">
        <w:rPr>
          <w:b w:val="1"/>
          <w:rtl w:val="0"/>
        </w:rPr>
        <w:t xml:space="preserve">actual usage lags</w:t>
      </w:r>
      <w:r w:rsidDel="00000000" w:rsidR="00000000" w:rsidRPr="00000000">
        <w:rPr>
          <w:rtl w:val="0"/>
        </w:rPr>
        <w:t xml:space="preserve"> due to device and data costs (the “usage gap”), constraining user acquisition and revenue models; GSMA’s latest connectivity data details this gap and its affordability drivers. Energy and transport bottlenecks add opex and reliability risk, especially for logistics and edge compute. Meanwhile, scaling across </w:t>
      </w:r>
      <w:r w:rsidDel="00000000" w:rsidR="00000000" w:rsidRPr="00000000">
        <w:rPr>
          <w:b w:val="1"/>
          <w:rtl w:val="0"/>
        </w:rPr>
        <w:t xml:space="preserve">50+ countries and ~40 currencies</w:t>
      </w:r>
      <w:r w:rsidDel="00000000" w:rsidR="00000000" w:rsidRPr="00000000">
        <w:rPr>
          <w:rtl w:val="0"/>
        </w:rPr>
        <w:t xml:space="preserve"> means heterogeneous licensing, taxation, and payment rules; policy analysts recommend sandboxing and gradual harmonization to manage compliance costs while preserving consumer protection. For NJIT, these realities affect where to site pilots, what SLAs to promise, and how to model TCO for digital services.</w:t>
      </w:r>
      <w:hyperlink r:id="rId7">
        <w:r w:rsidDel="00000000" w:rsidR="00000000" w:rsidRPr="00000000">
          <w:rPr>
            <w:color w:val="1155cc"/>
            <w:u w:val="single"/>
            <w:rtl w:val="0"/>
          </w:rPr>
          <w:t xml:space="preserve"> Reuters</w:t>
        </w:r>
      </w:hyperlink>
      <w:r w:rsidDel="00000000" w:rsidR="00000000" w:rsidRPr="00000000">
        <w:rPr>
          <w:rtl w:val="0"/>
        </w:rPr>
      </w:r>
    </w:p>
    <w:p w:rsidR="00000000" w:rsidDel="00000000" w:rsidP="00000000" w:rsidRDefault="00000000" w:rsidRPr="00000000" w14:paraId="00000006">
      <w:pPr>
        <w:spacing w:after="240" w:before="240" w:lineRule="auto"/>
        <w:rPr>
          <w:color w:val="1155cc"/>
          <w:u w:val="single"/>
        </w:rPr>
      </w:pPr>
      <w:r w:rsidDel="00000000" w:rsidR="00000000" w:rsidRPr="00000000">
        <w:rPr>
          <w:rtl w:val="0"/>
        </w:rPr>
        <w:t xml:space="preserve">Governance and equity risks also matter. Cross-border IP and </w:t>
      </w:r>
      <w:r w:rsidDel="00000000" w:rsidR="00000000" w:rsidRPr="00000000">
        <w:rPr>
          <w:b w:val="1"/>
          <w:rtl w:val="0"/>
        </w:rPr>
        <w:t xml:space="preserve">data-protection mosaics</w:t>
      </w:r>
      <w:r w:rsidDel="00000000" w:rsidR="00000000" w:rsidRPr="00000000">
        <w:rPr>
          <w:rtl w:val="0"/>
        </w:rPr>
        <w:t xml:space="preserve"> require careful contracting (local PIs, MTAs, and clear IP/transfer clauses) to avoid “parachute research” dynamics and to comply with evolving national regimes; World Bank digital-economy guidance and regional policy workstreams flag these obligations. Finally, the </w:t>
      </w:r>
      <w:r w:rsidDel="00000000" w:rsidR="00000000" w:rsidRPr="00000000">
        <w:rPr>
          <w:b w:val="1"/>
          <w:rtl w:val="0"/>
        </w:rPr>
        <w:t xml:space="preserve">gender funding gap</w:t>
      </w:r>
      <w:r w:rsidDel="00000000" w:rsidR="00000000" w:rsidRPr="00000000">
        <w:rPr>
          <w:rtl w:val="0"/>
        </w:rPr>
        <w:t xml:space="preserve"> in African VC remains significant; IFC launched </w:t>
      </w:r>
      <w:r w:rsidDel="00000000" w:rsidR="00000000" w:rsidRPr="00000000">
        <w:rPr>
          <w:b w:val="1"/>
          <w:rtl w:val="0"/>
        </w:rPr>
        <w:t xml:space="preserve">She Wins Africa</w:t>
      </w:r>
      <w:r w:rsidDel="00000000" w:rsidR="00000000" w:rsidRPr="00000000">
        <w:rPr>
          <w:rtl w:val="0"/>
        </w:rPr>
        <w:t xml:space="preserve"> to expand women-led startup financing and investment readiness, but universities and investors need targeted tracks to avoid replicating inequities in programs and portfolios. Addressing these issues up front—through governance templates, gender-inclusive accelerators, and affordability-sensitive product design—raises the odds that institutional investments are ethical, scalable, and durable.</w:t>
      </w:r>
      <w:hyperlink r:id="rId8">
        <w:r w:rsidDel="00000000" w:rsidR="00000000" w:rsidRPr="00000000">
          <w:rPr>
            <w:rtl w:val="0"/>
          </w:rPr>
          <w:t xml:space="preserve"> </w:t>
        </w:r>
      </w:hyperlink>
      <w:r w:rsidDel="00000000" w:rsidR="00000000" w:rsidRPr="00000000">
        <w:rPr>
          <w:rtl w:val="0"/>
        </w:rPr>
      </w:r>
    </w:p>
    <w:p w:rsidR="00000000" w:rsidDel="00000000" w:rsidP="00000000" w:rsidRDefault="00000000" w:rsidRPr="00000000" w14:paraId="00000007">
      <w:pPr>
        <w:spacing w:after="240" w:before="240" w:lineRule="auto"/>
        <w:rPr/>
      </w:pPr>
      <w:r w:rsidDel="00000000" w:rsidR="00000000" w:rsidRPr="00000000">
        <w:rPr>
          <w:b w:val="1"/>
          <w:rtl w:val="0"/>
        </w:rPr>
        <w:t xml:space="preserve">References:</w:t>
      </w:r>
      <w:r w:rsidDel="00000000" w:rsidR="00000000" w:rsidRPr="00000000">
        <w:rPr>
          <w:rtl w:val="0"/>
        </w:rPr>
        <w:t xml:space="preserve"> Partech Africa 2021 report; CNBC “Why Microsoft and Google are betting big on Africa”; McKinsey—African fintech; GSMA—Mobile Internet Connectivity (usage gap/affordability); World Bank—DE4A initiative &amp; digital transformation results; Reuters/Naspers–MISTRA on regulatory sandboxes; IFC—She Wins Africa.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worldbank.org/en/topic/digital/overview?" TargetMode="External"/><Relationship Id="rId7" Type="http://schemas.openxmlformats.org/officeDocument/2006/relationships/hyperlink" Target="https://www.reuters.com/world/africa/south-african-digital-platforms-need-testing-grounds-speed-innovation-report-2024-08-27/" TargetMode="External"/><Relationship Id="rId8" Type="http://schemas.openxmlformats.org/officeDocument/2006/relationships/hyperlink" Target="https://www.worldbank.org/en/programs/all-africa-digital-transformation?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