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Times New Roman" w:cs="Times New Roman" w:eastAsia="Times New Roman" w:hAnsi="Times New Roman"/>
          <w:b/>
          <w:bCs/>
          <w:sz w:val="32"/>
          <w:szCs w:val="32"/>
        </w:rPr>
        <w:t xml:space="preserve">Pre-specified predictions: confirmatory test of the site-relative moisture response</w:t>
      </w:r>
    </w:p>
    <w:p>
      <w:pPr>
        <w:spacing w:after="340"/>
      </w:pPr>
      <w:r>
        <w:rPr>
          <w:rFonts w:ascii="Times New Roman" w:cs="Times New Roman" w:eastAsia="Times New Roman" w:hAnsi="Times New Roman"/>
          <w:i/>
          <w:iCs/>
          <w:sz w:val="22"/>
          <w:szCs w:val="22"/>
        </w:rPr>
        <w:t xml:space="preserve">Embedding tree growth theory in AI · İlker Ercanlı · written 21 October 2026, before the runs</w:t>
      </w:r>
    </w:p>
    <w:p>
      <w:pPr>
        <w:spacing w:after="200" w:line="360"/>
        <w:jc w:val="both"/>
      </w:pPr>
      <w:r>
        <w:rPr>
          <w:rFonts w:ascii="Times New Roman" w:cs="Times New Roman" w:eastAsia="Times New Roman" w:hAnsi="Times New Roman"/>
          <w:sz w:val="24"/>
          <w:szCs w:val="24"/>
        </w:rPr>
        <w:t xml:space="preserve">This document was written on 21 October 2026 at about 23:30 (UTC+3), before any of the runs described below were started. It fixes the models, tests, predictions and decision rules of the confirmatory analysis that follows the exploratory acclimation result. All results will be reported, whatever they show.</w:t>
      </w:r>
    </w:p>
    <w:p>
      <w:pPr>
        <w:spacing w:after="160" w:before="280"/>
      </w:pPr>
      <w:r>
        <w:rPr>
          <w:rFonts w:ascii="Times New Roman" w:cs="Times New Roman" w:eastAsia="Times New Roman" w:hAnsi="Times New Roman"/>
          <w:b/>
          <w:bCs/>
          <w:sz w:val="28"/>
          <w:szCs w:val="28"/>
        </w:rPr>
        <w:t xml:space="preserve">1. Question</w:t>
      </w:r>
    </w:p>
    <w:p>
      <w:pPr>
        <w:spacing w:after="200" w:line="360"/>
        <w:jc w:val="both"/>
      </w:pPr>
      <w:r>
        <w:rPr>
          <w:rFonts w:ascii="Times New Roman" w:cs="Times New Roman" w:eastAsia="Times New Roman" w:hAnsi="Times New Roman"/>
          <w:sz w:val="24"/>
          <w:szCs w:val="24"/>
        </w:rPr>
        <w:t xml:space="preserve">In the exploratory analysis (Notebook 4), letting the moisture threshold shift with each site's 1901–1960 mean soil moisture, M_eff = M − λ_s (M̄_s − M̄), reduced the error of the theory-embedded model at the driest 10% of sites from 1.164 to 0.869. Two explanations are possible: (a) a genuine site-relative (acclimated) moisture response; (b) a reparameterization effect, because the centres of the moisture response were allowed to move only ±0.1 around a fixed grid, and λ_s relaxes that bound.</w:t>
      </w:r>
    </w:p>
    <w:p>
      <w:pPr>
        <w:spacing w:after="160" w:before="280"/>
      </w:pPr>
      <w:r>
        <w:rPr>
          <w:rFonts w:ascii="Times New Roman" w:cs="Times New Roman" w:eastAsia="Times New Roman" w:hAnsi="Times New Roman"/>
          <w:b/>
          <w:bCs/>
          <w:sz w:val="28"/>
          <w:szCs w:val="28"/>
        </w:rPr>
        <w:t xml:space="preserve">2. Models</w:t>
      </w:r>
    </w:p>
    <w:p>
      <w:pPr>
        <w:spacing w:after="100" w:line="320"/>
        <w:ind w:left="360" w:hanging="360"/>
        <w:jc w:val="both"/>
      </w:pPr>
      <w:r>
        <w:rPr>
          <w:rFonts w:ascii="Times New Roman" w:cs="Times New Roman" w:eastAsia="Times New Roman" w:hAnsi="Times New Roman"/>
          <w:b/>
          <w:bCs/>
          <w:sz w:val="24"/>
          <w:szCs w:val="24"/>
        </w:rPr>
        <w:t xml:space="preserve">T+S:</w:t>
      </w:r>
      <w:r>
        <w:rPr>
          <w:rFonts w:ascii="Times New Roman" w:cs="Times New Roman" w:eastAsia="Times New Roman" w:hAnsi="Times New Roman"/>
          <w:sz w:val="24"/>
          <w:szCs w:val="24"/>
        </w:rPr>
        <w:t xml:space="preserve"> theory-embedded model with site inputs (as in the final run).</w:t>
      </w:r>
    </w:p>
    <w:p>
      <w:pPr>
        <w:spacing w:after="100" w:line="320"/>
        <w:ind w:left="360" w:hanging="360"/>
        <w:jc w:val="both"/>
      </w:pPr>
      <w:r>
        <w:rPr>
          <w:rFonts w:ascii="Times New Roman" w:cs="Times New Roman" w:eastAsia="Times New Roman" w:hAnsi="Times New Roman"/>
          <w:b/>
          <w:bCs/>
          <w:sz w:val="24"/>
          <w:szCs w:val="24"/>
        </w:rPr>
        <w:t xml:space="preserve">T+S wide:</w:t>
      </w:r>
      <w:r>
        <w:rPr>
          <w:rFonts w:ascii="Times New Roman" w:cs="Times New Roman" w:eastAsia="Times New Roman" w:hAnsi="Times New Roman"/>
          <w:sz w:val="24"/>
          <w:szCs w:val="24"/>
        </w:rPr>
        <w:t xml:space="preserve"> as T+S, with the moisture-response centres allowed to move ±0.3 instead of ±0.1; no λ_s.</w:t>
      </w:r>
    </w:p>
    <w:p>
      <w:pPr>
        <w:spacing w:after="100" w:line="320"/>
        <w:ind w:left="360" w:hanging="360"/>
        <w:jc w:val="both"/>
      </w:pPr>
      <w:r>
        <w:rPr>
          <w:rFonts w:ascii="Times New Roman" w:cs="Times New Roman" w:eastAsia="Times New Roman" w:hAnsi="Times New Roman"/>
          <w:b/>
          <w:bCs/>
          <w:sz w:val="24"/>
          <w:szCs w:val="24"/>
        </w:rPr>
        <w:t xml:space="preserve">T+S acclim:</w:t>
      </w:r>
      <w:r>
        <w:rPr>
          <w:rFonts w:ascii="Times New Roman" w:cs="Times New Roman" w:eastAsia="Times New Roman" w:hAnsi="Times New Roman"/>
          <w:sz w:val="24"/>
          <w:szCs w:val="24"/>
        </w:rPr>
        <w:t xml:space="preserve"> as T+S, with the site-relative moisture input M_eff (λ_s from the parameter network).</w:t>
      </w:r>
    </w:p>
    <w:p>
      <w:pPr>
        <w:spacing w:after="100" w:line="320"/>
        <w:ind w:left="360" w:hanging="360"/>
        <w:jc w:val="both"/>
      </w:pPr>
      <w:r>
        <w:rPr>
          <w:rFonts w:ascii="Times New Roman" w:cs="Times New Roman" w:eastAsia="Times New Roman" w:hAnsi="Times New Roman"/>
          <w:b/>
          <w:bCs/>
          <w:sz w:val="24"/>
          <w:szCs w:val="24"/>
        </w:rPr>
        <w:t xml:space="preserve">U+S:</w:t>
      </w:r>
      <w:r>
        <w:rPr>
          <w:rFonts w:ascii="Times New Roman" w:cs="Times New Roman" w:eastAsia="Times New Roman" w:hAnsi="Times New Roman"/>
          <w:sz w:val="24"/>
          <w:szCs w:val="24"/>
        </w:rPr>
        <w:t xml:space="preserve"> unconstrained network with site inputs (reference).</w:t>
      </w:r>
    </w:p>
    <w:p>
      <w:pPr>
        <w:spacing w:after="200" w:line="360"/>
        <w:jc w:val="both"/>
      </w:pPr>
      <w:r>
        <w:rPr>
          <w:rFonts w:ascii="Times New Roman" w:cs="Times New Roman" w:eastAsia="Times New Roman" w:hAnsi="Times New Roman"/>
          <w:sz w:val="24"/>
          <w:szCs w:val="24"/>
        </w:rPr>
        <w:t xml:space="preserve">All with five seeds, identical training settings to the final run.</w:t>
      </w:r>
    </w:p>
    <w:p>
      <w:pPr>
        <w:spacing w:after="160" w:before="280"/>
      </w:pPr>
      <w:r>
        <w:rPr>
          <w:rFonts w:ascii="Times New Roman" w:cs="Times New Roman" w:eastAsia="Times New Roman" w:hAnsi="Times New Roman"/>
          <w:b/>
          <w:bCs/>
          <w:sz w:val="28"/>
          <w:szCs w:val="28"/>
        </w:rPr>
        <w:t xml:space="preserve">3. Tests</w:t>
      </w:r>
    </w:p>
    <w:p>
      <w:pPr>
        <w:spacing w:after="100" w:line="320"/>
        <w:ind w:left="360" w:hanging="360"/>
        <w:jc w:val="both"/>
      </w:pPr>
      <w:r>
        <w:rPr>
          <w:rFonts w:ascii="Times New Roman" w:cs="Times New Roman" w:eastAsia="Times New Roman" w:hAnsi="Times New Roman"/>
          <w:b/>
          <w:bCs/>
          <w:sz w:val="24"/>
          <w:szCs w:val="24"/>
        </w:rPr>
        <w:t xml:space="preserve">Driest 10%</w:t>
      </w:r>
      <w:r>
        <w:rPr>
          <w:rFonts w:ascii="Times New Roman" w:cs="Times New Roman" w:eastAsia="Times New Roman" w:hAnsi="Times New Roman"/>
          <w:sz w:val="24"/>
          <w:szCs w:val="24"/>
        </w:rPr>
        <w:t xml:space="preserve"> (already used; for the T+S wide comparison only).</w:t>
      </w:r>
    </w:p>
    <w:p>
      <w:pPr>
        <w:spacing w:after="100" w:line="320"/>
        <w:ind w:left="360" w:hanging="360"/>
        <w:jc w:val="both"/>
      </w:pPr>
      <w:r>
        <w:rPr>
          <w:rFonts w:ascii="Times New Roman" w:cs="Times New Roman" w:eastAsia="Times New Roman" w:hAnsi="Times New Roman"/>
          <w:b/>
          <w:bCs/>
          <w:sz w:val="24"/>
          <w:szCs w:val="24"/>
        </w:rPr>
        <w:t xml:space="preserve">Wettest 10% (new, never run):</w:t>
      </w:r>
      <w:r>
        <w:rPr>
          <w:rFonts w:ascii="Times New Roman" w:cs="Times New Roman" w:eastAsia="Times New Roman" w:hAnsi="Times New Roman"/>
          <w:sz w:val="24"/>
          <w:szCs w:val="24"/>
        </w:rPr>
        <w:t xml:space="preserve"> sites with the highest 1901–1960 ratio of precipitation to potential evapotranspiration withheld; trained on the rest.</w:t>
      </w:r>
    </w:p>
    <w:p>
      <w:pPr>
        <w:spacing w:after="100" w:line="320"/>
        <w:ind w:left="360" w:hanging="360"/>
        <w:jc w:val="both"/>
      </w:pPr>
      <w:r>
        <w:rPr>
          <w:rFonts w:ascii="Times New Roman" w:cs="Times New Roman" w:eastAsia="Times New Roman" w:hAnsi="Times New Roman"/>
          <w:b/>
          <w:bCs/>
          <w:sz w:val="24"/>
          <w:szCs w:val="24"/>
        </w:rPr>
        <w:t xml:space="preserve">Dry band 10–20% (new, never run):</w:t>
      </w:r>
      <w:r>
        <w:rPr>
          <w:rFonts w:ascii="Times New Roman" w:cs="Times New Roman" w:eastAsia="Times New Roman" w:hAnsi="Times New Roman"/>
          <w:sz w:val="24"/>
          <w:szCs w:val="24"/>
        </w:rPr>
        <w:t xml:space="preserve"> sites between the 80th and 90th percentile of dryness withheld; trained only on sites wetter than the 80th percentile, so the driest 20% of sites are absent from training.</w:t>
      </w:r>
    </w:p>
    <w:p>
      <w:pPr>
        <w:spacing w:after="100" w:line="320"/>
        <w:ind w:left="360" w:hanging="360"/>
        <w:jc w:val="both"/>
      </w:pPr>
      <w:r>
        <w:rPr>
          <w:rFonts w:ascii="Times New Roman" w:cs="Times New Roman" w:eastAsia="Times New Roman" w:hAnsi="Times New Roman"/>
          <w:sz w:val="24"/>
          <w:szCs w:val="24"/>
        </w:rPr>
        <w:t xml:space="preserve">Temporal and Southern Hemisphere tests for T+S wide, to check for costs elsewhere.</w:t>
      </w:r>
    </w:p>
    <w:p>
      <w:pPr>
        <w:spacing w:after="160" w:before="280"/>
      </w:pPr>
      <w:r>
        <w:rPr>
          <w:rFonts w:ascii="Times New Roman" w:cs="Times New Roman" w:eastAsia="Times New Roman" w:hAnsi="Times New Roman"/>
          <w:b/>
          <w:bCs/>
          <w:sz w:val="28"/>
          <w:szCs w:val="28"/>
        </w:rPr>
        <w:t xml:space="preserve">4. Predictions and decision rules</w:t>
      </w:r>
    </w:p>
    <w:p>
      <w:pPr>
        <w:spacing w:after="100" w:line="320"/>
        <w:ind w:left="360" w:hanging="360"/>
        <w:jc w:val="both"/>
      </w:pPr>
      <w:r>
        <w:rPr>
          <w:rFonts w:ascii="Times New Roman" w:cs="Times New Roman" w:eastAsia="Times New Roman" w:hAnsi="Times New Roman"/>
          <w:b/>
          <w:bCs/>
          <w:sz w:val="24"/>
          <w:szCs w:val="24"/>
        </w:rPr>
        <w:t xml:space="preserve">P1 (acclimation versus reparameterization).</w:t>
      </w:r>
      <w:r>
        <w:rPr>
          <w:rFonts w:ascii="Times New Roman" w:cs="Times New Roman" w:eastAsia="Times New Roman" w:hAnsi="Times New Roman"/>
          <w:sz w:val="24"/>
          <w:szCs w:val="24"/>
        </w:rPr>
        <w:t xml:space="preserve"> On the driest 10%, RMSE of T+S acclim is lower than that of T+S wide by at least 0.02, with the 95% site-bootstrap interval of the difference excluding zero. If the difference is smaller than 0.02 or its interval includes zero, the gain is attributed to the range of the moisture threshold, not to acclimation.</w:t>
      </w:r>
    </w:p>
    <w:p>
      <w:pPr>
        <w:spacing w:after="100" w:line="320"/>
        <w:ind w:left="360" w:hanging="360"/>
        <w:jc w:val="both"/>
      </w:pPr>
      <w:r>
        <w:rPr>
          <w:rFonts w:ascii="Times New Roman" w:cs="Times New Roman" w:eastAsia="Times New Roman" w:hAnsi="Times New Roman"/>
          <w:b/>
          <w:bCs/>
          <w:sz w:val="24"/>
          <w:szCs w:val="24"/>
        </w:rPr>
        <w:t xml:space="preserve">P2 (out-of-sample confirmation).</w:t>
      </w:r>
      <w:r>
        <w:rPr>
          <w:rFonts w:ascii="Times New Roman" w:cs="Times New Roman" w:eastAsia="Times New Roman" w:hAnsi="Times New Roman"/>
          <w:sz w:val="24"/>
          <w:szCs w:val="24"/>
        </w:rPr>
        <w:t xml:space="preserve"> On both new tests (wettest 10% and dry band 10–20%), RMSE of T+S acclim is lower than that of T+S by at least 0.02, with the 95% site-bootstrap interval excluding zero.</w:t>
      </w:r>
    </w:p>
    <w:p>
      <w:pPr>
        <w:spacing w:after="100" w:line="320"/>
        <w:ind w:left="360" w:hanging="360"/>
        <w:jc w:val="both"/>
      </w:pPr>
      <w:r>
        <w:rPr>
          <w:rFonts w:ascii="Times New Roman" w:cs="Times New Roman" w:eastAsia="Times New Roman" w:hAnsi="Times New Roman"/>
          <w:b/>
          <w:bCs/>
          <w:sz w:val="24"/>
          <w:szCs w:val="24"/>
        </w:rPr>
        <w:t xml:space="preserve">P3 (no cost).</w:t>
      </w:r>
      <w:r>
        <w:rPr>
          <w:rFonts w:ascii="Times New Roman" w:cs="Times New Roman" w:eastAsia="Times New Roman" w:hAnsi="Times New Roman"/>
          <w:sz w:val="24"/>
          <w:szCs w:val="24"/>
        </w:rPr>
        <w:t xml:space="preserve"> On the temporal test, T+S acclim and T+S wide are not worse than T+S by more than 0.01.</w:t>
      </w:r>
    </w:p>
    <w:p>
      <w:pPr>
        <w:spacing w:after="100" w:line="320"/>
        <w:ind w:left="360" w:hanging="360"/>
        <w:jc w:val="both"/>
      </w:pPr>
      <w:r>
        <w:rPr>
          <w:rFonts w:ascii="Times New Roman" w:cs="Times New Roman" w:eastAsia="Times New Roman" w:hAnsi="Times New Roman"/>
          <w:b/>
          <w:bCs/>
          <w:sz w:val="24"/>
          <w:szCs w:val="24"/>
        </w:rPr>
        <w:t xml:space="preserve">Decision.</w:t>
      </w:r>
      <w:r>
        <w:rPr>
          <w:rFonts w:ascii="Times New Roman" w:cs="Times New Roman" w:eastAsia="Times New Roman" w:hAnsi="Times New Roman"/>
          <w:sz w:val="24"/>
          <w:szCs w:val="24"/>
        </w:rPr>
        <w:t xml:space="preserve"> The site-relative moisture response is presented as a main result only if P1 and P2 both hold. Otherwise it is reported as exploratory, and the dry-margin failure as a limitation of the absolute moisture response.</w:t>
      </w:r>
    </w:p>
    <w:p>
      <w:pPr>
        <w:spacing w:after="160" w:before="280"/>
      </w:pPr>
      <w:r>
        <w:rPr>
          <w:rFonts w:ascii="Times New Roman" w:cs="Times New Roman" w:eastAsia="Times New Roman" w:hAnsi="Times New Roman"/>
          <w:b/>
          <w:bCs/>
          <w:sz w:val="28"/>
          <w:szCs w:val="28"/>
        </w:rPr>
        <w:t xml:space="preserve">5. Consistency tests (descriptive, no prediction of magnitude)</w:t>
      </w:r>
    </w:p>
    <w:p>
      <w:pPr>
        <w:spacing w:after="100" w:line="320"/>
        <w:ind w:left="360" w:hanging="360"/>
        <w:jc w:val="both"/>
      </w:pPr>
      <w:r>
        <w:rPr>
          <w:rFonts w:ascii="Times New Roman" w:cs="Times New Roman" w:eastAsia="Times New Roman" w:hAnsi="Times New Roman"/>
          <w:b/>
          <w:bCs/>
          <w:sz w:val="24"/>
          <w:szCs w:val="24"/>
        </w:rPr>
        <w:t xml:space="preserve">Precipitation +20%:</w:t>
      </w:r>
      <w:r>
        <w:rPr>
          <w:rFonts w:ascii="Times New Roman" w:cs="Times New Roman" w:eastAsia="Times New Roman" w:hAnsi="Times New Roman"/>
          <w:sz w:val="24"/>
          <w:szCs w:val="24"/>
        </w:rPr>
        <w:t xml:space="preserve"> precipitation raised in every month of the record for the selected sites; soil moisture recomputed with the same bucket model; all model inputs updated. For each model the share of rings whose prediction increases, does not change (|Δ| ≤ 0.001 log units) and decreases is reported. Theory-embedded models cannot decrease by construction; the share with no change is reported separately.</w:t>
      </w:r>
    </w:p>
    <w:p>
      <w:pPr>
        <w:spacing w:after="100" w:line="320"/>
        <w:ind w:left="360" w:hanging="360"/>
        <w:jc w:val="both"/>
      </w:pPr>
      <w:r>
        <w:rPr>
          <w:rFonts w:ascii="Times New Roman" w:cs="Times New Roman" w:eastAsia="Times New Roman" w:hAnsi="Times New Roman"/>
          <w:b/>
          <w:bCs/>
          <w:sz w:val="24"/>
          <w:szCs w:val="24"/>
        </w:rPr>
        <w:t xml:space="preserve">Temperature +1 °C:</w:t>
      </w:r>
      <w:r>
        <w:rPr>
          <w:rFonts w:ascii="Times New Roman" w:cs="Times New Roman" w:eastAsia="Times New Roman" w:hAnsi="Times New Roman"/>
          <w:sz w:val="24"/>
          <w:szCs w:val="24"/>
        </w:rPr>
        <w:t xml:space="preserve"> temperature raised in every month; potential evapotranspiration, soil moisture and vapour-pressure deficit recomputed (actual vapour pressure and the Thornthwaite heat index held at baseline). No direction is prescribed; the share of decreases is reported for the driest and the coldest quartiles of sites. Expected: decreases concentrated in dry sites for the theory-embedded models.</w:t>
      </w:r>
    </w:p>
    <w:p>
      <w:pPr>
        <w:spacing w:after="160" w:before="280"/>
      </w:pPr>
      <w:r>
        <w:rPr>
          <w:rFonts w:ascii="Times New Roman" w:cs="Times New Roman" w:eastAsia="Times New Roman" w:hAnsi="Times New Roman"/>
          <w:b/>
          <w:bCs/>
          <w:sz w:val="28"/>
          <w:szCs w:val="28"/>
        </w:rPr>
        <w:t xml:space="preserve">6. Statistics</w:t>
      </w:r>
    </w:p>
    <w:p>
      <w:pPr>
        <w:spacing w:after="100" w:line="320"/>
        <w:ind w:left="360" w:hanging="360"/>
        <w:jc w:val="both"/>
      </w:pPr>
      <w:r>
        <w:rPr>
          <w:rFonts w:ascii="Times New Roman" w:cs="Times New Roman" w:eastAsia="Times New Roman" w:hAnsi="Times New Roman"/>
          <w:sz w:val="24"/>
          <w:szCs w:val="24"/>
        </w:rPr>
        <w:t xml:space="preserve">Equivalence (H1 of the analysis plan) is re-evaluated with two one-sided tests: the 90% site-bootstrap interval of the RMSE difference must lie within ±0.02. Year-block bootstrap intervals are reported as a sensitivity analysis.</w:t>
      </w:r>
    </w:p>
    <w:p>
      <w:pPr>
        <w:spacing w:after="100" w:line="320"/>
        <w:ind w:left="360" w:hanging="360"/>
        <w:jc w:val="both"/>
      </w:pPr>
      <w:r>
        <w:rPr>
          <w:rFonts w:ascii="Times New Roman" w:cs="Times New Roman" w:eastAsia="Times New Roman" w:hAnsi="Times New Roman"/>
          <w:sz w:val="24"/>
          <w:szCs w:val="24"/>
        </w:rPr>
        <w:t xml:space="preserve">Ablations are extended to five seeds and reported as ensembles.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2026-10-21T20:29:37.014Z</dcterms:created>
  <dcterms:modified xsi:type="dcterms:W3CDTF">2026-10-21T20:29:37.014Z</dcterms:modified>
</cp:coreProperties>
</file>

<file path=docProps/custom.xml><?xml version="1.0" encoding="utf-8"?>
<Properties xmlns="http://schemas.openxmlformats.org/officeDocument/2006/custom-properties" xmlns:vt="http://schemas.openxmlformats.org/officeDocument/2006/docPropsVTypes"/>
</file>