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Borders>
          <w:top w:val="nil"/>
          <w:left w:val="nil"/>
          <w:bottom w:val="nil"/>
          <w:right w:val="nil"/>
          <w:insideH w:val="nil"/>
          <w:insideV w:val="nil"/>
        </w:tblBorders>
        <w:tblInd w:w="0" w:type="dxa"/>
      </w:tblPr>
      <w:tblGrid>
        <w:gridCol w:w="5200"/>
        <w:gridCol w:w="4160"/>
      </w:tblGrid>
      <w:tr>
        <w:tc>
          <w:tcPr>
            <w:tcW w:type="dxa" w:w="5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sz w:val="22"/>
              </w:rPr>
              <w:t>ĐẠI HỌC QUỐC GIA TP. HỒ CHÍ MINH</w:t>
              <w:br/>
              <w:t>TRƯỜNG ĐẠI HỌC CÔNG NGHỆ THÔNG TIN</w:t>
            </w:r>
          </w:p>
        </w:tc>
        <w:tc>
          <w:tcPr>
            <w:tcW w:type="dxa" w:w="416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Ngày nhận hồ sơ:</w:t>
              <w:br/>
              <w:br/>
              <w:t>(Do CQ quản lý ghi)</w:t>
            </w:r>
          </w:p>
        </w:tc>
      </w:tr>
    </w:tbl>
    <w:p>
      <w:pPr>
        <w:spacing w:before="360" w:after="20" w:line="269" w:lineRule="auto"/>
        <w:ind w:left="0" w:firstLine="0"/>
        <w:jc w:val="center"/>
      </w:pPr>
      <w:r>
        <w:rPr>
          <w:rFonts w:ascii="Times New Roman" w:hAnsi="Times New Roman" w:eastAsia="Times New Roman"/>
          <w:b/>
          <w:i w:val="0"/>
          <w:sz w:val="32"/>
        </w:rPr>
        <w:t>THUYẾT MINH</w:t>
      </w:r>
    </w:p>
    <w:p>
      <w:pPr>
        <w:spacing w:before="0" w:after="280" w:line="269" w:lineRule="auto"/>
        <w:ind w:left="0" w:firstLine="0"/>
        <w:jc w:val="center"/>
      </w:pPr>
      <w:r>
        <w:rPr>
          <w:rFonts w:ascii="Times New Roman" w:hAnsi="Times New Roman" w:eastAsia="Times New Roman"/>
          <w:b w:val="0"/>
          <w:i w:val="0"/>
          <w:sz w:val="28"/>
        </w:rPr>
        <w:t>ĐỀ TÀI NGHIÊN CỨU KHOA HỌC SINH VIÊN 2026</w:t>
      </w:r>
    </w:p>
    <w:p>
      <w:pPr>
        <w:keepNext/>
        <w:spacing w:before="240" w:after="80"/>
        <w:jc w:val="left"/>
      </w:pPr>
      <w:r>
        <w:rPr>
          <w:rFonts w:ascii="Times New Roman" w:hAnsi="Times New Roman" w:eastAsia="Times New Roman"/>
          <w:b/>
          <w:i w:val="0"/>
          <w:color w:val="0000FF"/>
          <w:sz w:val="27"/>
        </w:rPr>
        <w:t>A. THÔNG TIN CHUNG</w:t>
      </w:r>
    </w:p>
    <w:p>
      <w:pPr>
        <w:keepNext/>
        <w:spacing w:before="160" w:after="80"/>
        <w:jc w:val="left"/>
      </w:pPr>
      <w:r>
        <w:rPr>
          <w:rFonts w:ascii="Times New Roman" w:hAnsi="Times New Roman" w:eastAsia="Times New Roman"/>
          <w:b/>
          <w:i w:val="0"/>
          <w:color w:val="0000FF"/>
          <w:sz w:val="25"/>
        </w:rPr>
        <w:t>A1. Tên đề tài</w:t>
      </w:r>
    </w:p>
    <w:p>
      <w:pPr>
        <w:spacing w:before="0" w:after="80" w:line="269" w:lineRule="auto"/>
        <w:ind w:left="0" w:firstLine="0"/>
        <w:jc w:val="both"/>
      </w:pPr>
      <w:r>
        <w:rPr>
          <w:rFonts w:ascii="Times New Roman" w:hAnsi="Times New Roman" w:eastAsia="Times New Roman"/>
          <w:b w:val="0"/>
          <w:i w:val="0"/>
          <w:sz w:val="22"/>
        </w:rPr>
        <w:t>- Tên tiếng Việt (IN HOA): BATS-AGRIGUARD: HỆ THỐNG PHÁT HIỆN VÀ CẢNH BÁO NGUY CƠ LẠM DỤNG MÃ SỐ VÙNG TRỒNG TRONG TRUY XUẤT NGUỒN GỐC CHUỖI NÔNG SẢN</w:t>
      </w:r>
    </w:p>
    <w:p>
      <w:pPr>
        <w:spacing w:before="0" w:after="120" w:line="269" w:lineRule="auto"/>
        <w:ind w:left="0" w:firstLine="0"/>
        <w:jc w:val="both"/>
      </w:pPr>
      <w:r>
        <w:rPr>
          <w:rFonts w:ascii="Times New Roman" w:hAnsi="Times New Roman" w:eastAsia="Times New Roman"/>
          <w:b w:val="0"/>
          <w:i w:val="0"/>
          <w:sz w:val="22"/>
        </w:rPr>
        <w:t>- Tên tiếng Anh (IN HOA): BATS-AGRIGUARD: A RISK-AWARE FRAMEWORK FOR DETECTING AND PREVENTING PLANTATION CODE MISUSE IN AGRICULTURAL SUPPLY CHAIN TRACEABILITY</w:t>
      </w:r>
    </w:p>
    <w:p>
      <w:pPr>
        <w:keepNext/>
        <w:spacing w:before="160" w:after="80"/>
        <w:jc w:val="left"/>
      </w:pPr>
      <w:r>
        <w:rPr>
          <w:rFonts w:ascii="Times New Roman" w:hAnsi="Times New Roman" w:eastAsia="Times New Roman"/>
          <w:b/>
          <w:i w:val="0"/>
          <w:color w:val="0000FF"/>
          <w:sz w:val="25"/>
        </w:rPr>
        <w:t>A2. Thời gian thực hiện</w:t>
      </w:r>
    </w:p>
    <w:p>
      <w:pPr>
        <w:spacing w:before="0" w:after="160" w:line="269" w:lineRule="auto"/>
        <w:ind w:left="0" w:firstLine="0"/>
        <w:jc w:val="both"/>
      </w:pPr>
      <w:r>
        <w:rPr>
          <w:rFonts w:ascii="Times New Roman" w:hAnsi="Times New Roman" w:eastAsia="Times New Roman"/>
          <w:b w:val="0"/>
          <w:i w:val="0"/>
          <w:sz w:val="22"/>
        </w:rPr>
        <w:t>6 tháng (kể từ khi được duyệt).</w:t>
      </w:r>
    </w:p>
    <w:p>
      <w:pPr>
        <w:keepNext/>
        <w:spacing w:before="160" w:after="80"/>
        <w:jc w:val="left"/>
      </w:pPr>
      <w:r>
        <w:rPr>
          <w:rFonts w:ascii="Times New Roman" w:hAnsi="Times New Roman" w:eastAsia="Times New Roman"/>
          <w:b/>
          <w:i w:val="0"/>
          <w:color w:val="0000FF"/>
          <w:sz w:val="25"/>
        </w:rPr>
        <w:t>A3. Tổng kinh phí</w:t>
      </w:r>
    </w:p>
    <w:p>
      <w:pPr>
        <w:spacing w:before="0" w:after="60" w:line="269" w:lineRule="auto"/>
        <w:ind w:left="0" w:firstLine="0"/>
        <w:jc w:val="both"/>
      </w:pPr>
      <w:r>
        <w:rPr>
          <w:rFonts w:ascii="Times New Roman" w:hAnsi="Times New Roman" w:eastAsia="Times New Roman"/>
          <w:b w:val="0"/>
          <w:i w:val="0"/>
          <w:sz w:val="22"/>
        </w:rPr>
        <w:t>Tổng kinh phí: 1.000.000 đồng, gồm:</w:t>
      </w:r>
    </w:p>
    <w:p>
      <w:pPr>
        <w:pStyle w:val="ListBullet"/>
        <w:spacing w:after="60" w:line="264" w:lineRule="auto"/>
        <w:jc w:val="both"/>
      </w:pPr>
      <w:r>
        <w:rPr>
          <w:rFonts w:ascii="Times New Roman" w:hAnsi="Times New Roman" w:eastAsia="Times New Roman"/>
          <w:b w:val="0"/>
          <w:i w:val="0"/>
          <w:sz w:val="22"/>
        </w:rPr>
        <w:t>Kinh phí từ Trường Đại học Công nghệ Thông tin: 1.000.000 đồng.</w:t>
      </w:r>
    </w:p>
    <w:p>
      <w:pPr>
        <w:spacing w:before="0" w:after="100" w:line="269" w:lineRule="auto"/>
        <w:ind w:left="0" w:firstLine="0"/>
        <w:jc w:val="both"/>
      </w:pPr>
      <w:r>
        <w:rPr>
          <w:rFonts w:ascii="Times New Roman" w:hAnsi="Times New Roman" w:eastAsia="Times New Roman"/>
          <w:b w:val="0"/>
          <w:i/>
          <w:sz w:val="21"/>
        </w:rPr>
        <w:t>Tài liệu nguồn chưa cung cấp phương án phân bổ chi tiết theo hạng mục.</w:t>
      </w:r>
    </w:p>
    <w:p>
      <w:pPr>
        <w:keepNext/>
        <w:spacing w:before="160" w:after="80"/>
        <w:jc w:val="left"/>
      </w:pPr>
      <w:r>
        <w:rPr>
          <w:rFonts w:ascii="Times New Roman" w:hAnsi="Times New Roman" w:eastAsia="Times New Roman"/>
          <w:b/>
          <w:i w:val="0"/>
          <w:color w:val="0000FF"/>
          <w:sz w:val="25"/>
        </w:rPr>
        <w:t>A4. Chủ nhiệm đề tài</w:t>
      </w:r>
    </w:p>
    <w:p>
      <w:pPr>
        <w:spacing w:before="0" w:after="40" w:line="269" w:lineRule="auto"/>
        <w:ind w:left="317" w:firstLine="0"/>
        <w:jc w:val="both"/>
      </w:pPr>
      <w:r>
        <w:rPr>
          <w:rFonts w:ascii="Times New Roman" w:hAnsi="Times New Roman" w:eastAsia="Times New Roman"/>
          <w:b w:val="0"/>
          <w:i w:val="0"/>
          <w:sz w:val="22"/>
        </w:rPr>
        <w:t>Họ và tên: Nguyễn Đình Khang</w:t>
      </w:r>
    </w:p>
    <w:p>
      <w:pPr>
        <w:spacing w:before="0" w:after="40" w:line="269" w:lineRule="auto"/>
        <w:ind w:left="317" w:firstLine="0"/>
        <w:jc w:val="both"/>
      </w:pPr>
      <w:r>
        <w:rPr>
          <w:rFonts w:ascii="Times New Roman" w:hAnsi="Times New Roman" w:eastAsia="Times New Roman"/>
          <w:b w:val="0"/>
          <w:i w:val="0"/>
          <w:sz w:val="22"/>
        </w:rPr>
        <w:t>Ngày, tháng, năm sinh: 07/05/2005                                      Giới tính (Nam/Nữ): Nam</w:t>
      </w:r>
    </w:p>
    <w:p>
      <w:pPr>
        <w:spacing w:before="0" w:after="40" w:line="269" w:lineRule="auto"/>
        <w:ind w:left="317" w:firstLine="0"/>
        <w:jc w:val="both"/>
      </w:pPr>
      <w:r>
        <w:rPr>
          <w:rFonts w:ascii="Times New Roman" w:hAnsi="Times New Roman" w:eastAsia="Times New Roman"/>
          <w:b w:val="0"/>
          <w:i w:val="0"/>
          <w:sz w:val="22"/>
        </w:rPr>
        <w:t>Số CCCD: 080205003038; Ngày cấp: 25/04/2021; Nơi cấp: Cục trưởng Cục Cảnh sát quản lý hành chính về trật tự xã hội</w:t>
      </w:r>
    </w:p>
    <w:p>
      <w:pPr>
        <w:spacing w:before="0" w:after="40" w:line="269" w:lineRule="auto"/>
        <w:ind w:left="317" w:firstLine="0"/>
        <w:jc w:val="both"/>
      </w:pPr>
      <w:r>
        <w:rPr>
          <w:rFonts w:ascii="Times New Roman" w:hAnsi="Times New Roman" w:eastAsia="Times New Roman"/>
          <w:b w:val="0"/>
          <w:i w:val="0"/>
          <w:sz w:val="22"/>
        </w:rPr>
        <w:t>Mã số sinh viên: 23520694</w:t>
      </w:r>
    </w:p>
    <w:p>
      <w:pPr>
        <w:spacing w:before="0" w:after="40" w:line="269" w:lineRule="auto"/>
        <w:ind w:left="317" w:firstLine="0"/>
        <w:jc w:val="both"/>
      </w:pPr>
      <w:r>
        <w:rPr>
          <w:rFonts w:ascii="Times New Roman" w:hAnsi="Times New Roman" w:eastAsia="Times New Roman"/>
          <w:b w:val="0"/>
          <w:i w:val="0"/>
          <w:sz w:val="22"/>
        </w:rPr>
        <w:t>Số điện thoại liên lạc: 0967 414 607</w:t>
      </w:r>
    </w:p>
    <w:p>
      <w:pPr>
        <w:spacing w:before="0" w:after="40" w:line="269" w:lineRule="auto"/>
        <w:ind w:left="317" w:firstLine="0"/>
        <w:jc w:val="both"/>
      </w:pPr>
      <w:r>
        <w:rPr>
          <w:rFonts w:ascii="Times New Roman" w:hAnsi="Times New Roman" w:eastAsia="Times New Roman"/>
          <w:b w:val="0"/>
          <w:i w:val="0"/>
          <w:sz w:val="22"/>
        </w:rPr>
        <w:t>Khoa: Mạng máy tính và Truyền thông</w:t>
      </w:r>
    </w:p>
    <w:p>
      <w:pPr>
        <w:spacing w:before="0" w:after="40" w:line="269" w:lineRule="auto"/>
        <w:ind w:left="317" w:firstLine="0"/>
        <w:jc w:val="both"/>
      </w:pPr>
      <w:r>
        <w:rPr>
          <w:rFonts w:ascii="Times New Roman" w:hAnsi="Times New Roman" w:eastAsia="Times New Roman"/>
          <w:b w:val="0"/>
          <w:i w:val="0"/>
          <w:sz w:val="22"/>
        </w:rPr>
        <w:t>Số tài khoản: 1068762359                                      Ngân hàng: Vietcombank</w:t>
      </w:r>
    </w:p>
    <w:p>
      <w:pPr>
        <w:spacing w:before="0" w:after="100" w:line="269" w:lineRule="auto"/>
        <w:ind w:left="317" w:firstLine="0"/>
        <w:jc w:val="both"/>
      </w:pPr>
      <w:r>
        <w:rPr>
          <w:rFonts w:ascii="Times New Roman" w:hAnsi="Times New Roman" w:eastAsia="Times New Roman"/>
          <w:b w:val="0"/>
          <w:i w:val="0"/>
          <w:sz w:val="21"/>
        </w:rPr>
        <w:t>Giảng viên hướng dẫn: [Chưa có thông tin trong tài liệu nguồn]</w:t>
      </w:r>
    </w:p>
    <w:p>
      <w:r>
        <w:br w:type="page"/>
      </w:r>
    </w:p>
    <w:p>
      <w:pPr>
        <w:keepNext/>
        <w:spacing w:before="160" w:after="80"/>
        <w:jc w:val="left"/>
      </w:pPr>
      <w:r>
        <w:rPr>
          <w:rFonts w:ascii="Times New Roman" w:hAnsi="Times New Roman" w:eastAsia="Times New Roman"/>
          <w:b/>
          <w:i w:val="0"/>
          <w:color w:val="0000FF"/>
          <w:sz w:val="25"/>
        </w:rPr>
        <w:t>A5. Thành viên đề tài (kể cả chủ nhiệm)</w:t>
      </w:r>
    </w:p>
    <w:tbl>
      <w:tblPr>
        <w:tblStyle w:val="TableGrid"/>
        <w:tblW w:type="dxa" w:w="9360"/>
        <w:jc w:val="center"/>
        <w:tblLayout w:type="fixed"/>
        <w:tblLook w:firstColumn="1" w:firstRow="1" w:lastColumn="0" w:lastRow="0" w:noHBand="0" w:noVBand="1" w:val="04A0"/>
        <w:tblInd w:w="0" w:type="dxa"/>
      </w:tblPr>
      <w:tblGrid>
        <w:gridCol w:w="650"/>
        <w:gridCol w:w="2850"/>
        <w:gridCol w:w="1800"/>
        <w:gridCol w:w="4060"/>
      </w:tblGrid>
      <w:tr>
        <w:trPr>
          <w:tblHeader w:val="true"/>
        </w:trPr>
        <w:tc>
          <w:tcPr>
            <w:tcW w:type="dxa" w:w="65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1"/>
              </w:rPr>
              <w:t>TT</w:t>
            </w:r>
          </w:p>
        </w:tc>
        <w:tc>
          <w:tcPr>
            <w:tcW w:type="dxa" w:w="285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1"/>
              </w:rPr>
              <w:t>Họ và tên</w:t>
            </w:r>
          </w:p>
        </w:tc>
        <w:tc>
          <w:tcPr>
            <w:tcW w:type="dxa" w:w="180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1"/>
              </w:rPr>
              <w:t>MSSV</w:t>
            </w:r>
          </w:p>
        </w:tc>
        <w:tc>
          <w:tcPr>
            <w:tcW w:type="dxa" w:w="406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1"/>
              </w:rPr>
              <w:t>Khoa</w:t>
            </w:r>
          </w:p>
        </w:tc>
      </w:tr>
      <w:tr>
        <w:tc>
          <w:tcPr>
            <w:tcW w:type="dxa" w:w="65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1</w:t>
            </w:r>
          </w:p>
        </w:tc>
        <w:tc>
          <w:tcPr>
            <w:tcW w:type="dxa" w:w="285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Nguyễn Đình Khang</w:t>
            </w:r>
          </w:p>
        </w:tc>
        <w:tc>
          <w:tcPr>
            <w:tcW w:type="dxa" w:w="18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23520694</w:t>
            </w:r>
          </w:p>
        </w:tc>
        <w:tc>
          <w:tcPr>
            <w:tcW w:type="dxa" w:w="406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Mạng máy tính và Truyền thông</w:t>
            </w:r>
          </w:p>
        </w:tc>
      </w:tr>
      <w:tr>
        <w:tc>
          <w:tcPr>
            <w:tcW w:type="dxa" w:w="65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2</w:t>
            </w:r>
          </w:p>
        </w:tc>
        <w:tc>
          <w:tcPr>
            <w:tcW w:type="dxa" w:w="285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Võ Minh An</w:t>
            </w:r>
          </w:p>
        </w:tc>
        <w:tc>
          <w:tcPr>
            <w:tcW w:type="dxa" w:w="18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23520033</w:t>
            </w:r>
          </w:p>
        </w:tc>
        <w:tc>
          <w:tcPr>
            <w:tcW w:type="dxa" w:w="406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1"/>
              </w:rPr>
              <w:t>Mạng máy tính và Truyền thông</w:t>
            </w:r>
          </w:p>
        </w:tc>
      </w:tr>
    </w:tbl>
    <w:p>
      <w:pPr>
        <w:keepNext/>
        <w:spacing w:before="240" w:after="80"/>
        <w:jc w:val="left"/>
      </w:pPr>
      <w:r>
        <w:rPr>
          <w:rFonts w:ascii="Times New Roman" w:hAnsi="Times New Roman" w:eastAsia="Times New Roman"/>
          <w:b/>
          <w:i w:val="0"/>
          <w:color w:val="0000FF"/>
          <w:sz w:val="27"/>
        </w:rPr>
        <w:t>B. MÔ TẢ NGHIÊN CỨU</w:t>
      </w:r>
    </w:p>
    <w:p>
      <w:pPr>
        <w:keepNext/>
        <w:spacing w:before="160" w:after="80"/>
        <w:jc w:val="left"/>
      </w:pPr>
      <w:r>
        <w:rPr>
          <w:rFonts w:ascii="Times New Roman" w:hAnsi="Times New Roman" w:eastAsia="Times New Roman"/>
          <w:b/>
          <w:i w:val="0"/>
          <w:color w:val="0000FF"/>
          <w:sz w:val="25"/>
        </w:rPr>
        <w:t>B1. Giới thiệu về đề tài</w:t>
      </w:r>
    </w:p>
    <w:p>
      <w:pPr>
        <w:spacing w:before="0" w:after="160" w:line="269" w:lineRule="auto"/>
        <w:ind w:left="0" w:firstLine="0"/>
        <w:jc w:val="both"/>
      </w:pPr>
      <w:r>
        <w:rPr>
          <w:rFonts w:ascii="Times New Roman" w:hAnsi="Times New Roman" w:eastAsia="Times New Roman"/>
          <w:b w:val="0"/>
          <w:i w:val="0"/>
          <w:sz w:val="24"/>
        </w:rPr>
        <w:t>Truy xuất nguồn gốc nông sản đang được nghiên cứu theo hướng kết hợp blockchain, Internet of Things và mô hình dữ liệu chuẩn hóa để tăng khả năng chia sẻ, kiểm toán và minh bạch lịch sử sản phẩm trong chuỗi cung ứng [1]-[4]. Các công trình hiện có cho thấy blockchain có thể bảo toàn lịch sử giao dịch và hỗ trợ phối hợp giữa nhiều tác nhân; những triển khai thực tế cũng đã chứng minh tiềm năng áp dụng trong chuỗi nông sản [3], [4].</w:t>
      </w:r>
    </w:p>
    <w:p>
      <w:pPr>
        <w:spacing w:before="0" w:after="160" w:line="269" w:lineRule="auto"/>
        <w:ind w:left="0" w:firstLine="0"/>
        <w:jc w:val="both"/>
      </w:pPr>
      <w:r>
        <w:rPr>
          <w:rFonts w:ascii="Times New Roman" w:hAnsi="Times New Roman" w:eastAsia="Times New Roman"/>
          <w:b w:val="0"/>
          <w:i w:val="0"/>
          <w:sz w:val="24"/>
        </w:rPr>
        <w:t>Trong một chuỗi nông sản có nhiều tác nhân, dữ liệu vùng trồng, thu hoạch, tiếp nhận, chuyển giao, đóng gói và xuất hàng thường được hình thành ở các thời điểm và hệ thống khác nhau. Vì vậy, yêu cầu không chỉ là lưu lại các bản ghi riêng lẻ, mà còn là liên kết chúng theo một mô hình sự kiện có thể trao đổi và đối chiếu. GS1 EPCIS cung cấp cơ sở để tổ chức dữ liệu về những gì đã xảy ra với sản phẩm, thời điểm, địa điểm và tác nhân tham gia; đây là nền tảng phù hợp để đề tài xây dựng profile sự kiện truy xuất trong phạm vi PoC [5].</w:t>
      </w:r>
    </w:p>
    <w:p>
      <w:pPr>
        <w:spacing w:before="0" w:after="160" w:line="269" w:lineRule="auto"/>
        <w:ind w:left="0" w:firstLine="0"/>
        <w:jc w:val="both"/>
      </w:pPr>
      <w:r>
        <w:rPr>
          <w:rFonts w:ascii="Times New Roman" w:hAnsi="Times New Roman" w:eastAsia="Times New Roman"/>
          <w:b w:val="0"/>
          <w:i w:val="0"/>
          <w:sz w:val="24"/>
        </w:rPr>
        <w:t>Tuy nhiên, một lịch sử được ghi nhận chưa mặc nhiên là lịch sử nhất quán. Một sự kiện có thể hợp lệ về cấu trúc nhưng vẫn bất thường khi đối chiếu vị trí, chủ thể, trạng thái mã vùng trồng, sản lượng hoặc quan hệ chuyển giao với các dữ liệu và sự kiện liên quan. Ví dụ, mã vùng trồng có thể được sử dụng ngoài polygon đã đăng ký; sản lượng tích lũy có thể vượt năng lực đã khai báo; đầu ra của một công đoạn có thể không tương ứng với đầu vào có nguồn gốc hợp lệ; hoặc trình tự bàn giao có thể không phù hợp với chuỗi nghiệp vụ. Dữ liệu không gian, mô hình sự kiện và các cơ chế tăng hiệu quả truy xuất là những nền tảng quan trọng, song không tự xác thực tính hợp lý của nội dung provenance [5]-[7].</w:t>
      </w:r>
    </w:p>
    <w:p>
      <w:pPr>
        <w:spacing w:before="0" w:after="160" w:line="269" w:lineRule="auto"/>
        <w:ind w:left="0" w:firstLine="0"/>
        <w:jc w:val="both"/>
      </w:pPr>
      <w:r>
        <w:rPr>
          <w:rFonts w:ascii="Times New Roman" w:hAnsi="Times New Roman" w:eastAsia="Times New Roman"/>
          <w:b w:val="0"/>
          <w:i w:val="0"/>
          <w:sz w:val="24"/>
        </w:rPr>
        <w:t>Bên cạnh đó, tính bất biến của blockchain không giải quyết trực tiếp độ chính xác của dữ liệu hình thành ngoài chuỗi; một tọa độ, khối lượng hoặc bằng chứng không chính xác vẫn có thể được cam kết bất biến. Giới hạn này phù hợp với thảo luận về oracle paradox trong các hệ thống smart contract [10]. Do đó, blockchain trong đề tài không được xem là cơ chế chứng minh tuyệt đối tính đúng của dữ liệu đầu vào, mà là lớp bảo toàn bằng chứng cho dữ liệu đã đi qua các bước chuẩn hóa và kiểm tra.</w:t>
      </w:r>
    </w:p>
    <w:p>
      <w:pPr>
        <w:spacing w:before="0" w:after="160" w:line="269" w:lineRule="auto"/>
        <w:ind w:left="0" w:firstLine="0"/>
        <w:jc w:val="both"/>
      </w:pPr>
      <w:r>
        <w:rPr>
          <w:rFonts w:ascii="Times New Roman" w:hAnsi="Times New Roman" w:eastAsia="Times New Roman"/>
          <w:b w:val="0"/>
          <w:i w:val="0"/>
          <w:sz w:val="24"/>
        </w:rPr>
        <w:t>Từ khoảng trống giữa traceability và provenance integrity, đề tài BATS-AgriGuard đề xuất quy trình validation-before-anchoring. Mỗi vùng trồng được mô hình hóa bằng Digital Plantation Identity (DPI), liên kết mã vùng trồng với polygon địa lý, diện tích, loại cây trồng, chủ thể được ủy quyền, trạng thái và thời gian hiệu lực. Các sự kiện từ thu hoạch, tiếp nhận/chuyển giao, đóng gói đến xuất hàng được tổ chức theo hướng căn chỉnh với GS1 EPCIS. Plantation Code Integrity Engine (PCIE) kiểm tra các ràng buộc về không gian, quyền chủ thể, trạng thái, năng lực sản lượng, bằng chứng, Mass Balance và Chain of Custody ở cả cấp sự kiện lẫn xuyên sự kiện.</w:t>
      </w:r>
    </w:p>
    <w:p>
      <w:pPr>
        <w:spacing w:before="0" w:after="160" w:line="269" w:lineRule="auto"/>
        <w:ind w:left="0" w:firstLine="0"/>
        <w:jc w:val="both"/>
      </w:pPr>
      <w:r>
        <w:rPr>
          <w:rFonts w:ascii="Times New Roman" w:hAnsi="Times New Roman" w:eastAsia="Times New Roman"/>
          <w:b w:val="0"/>
          <w:i w:val="0"/>
          <w:sz w:val="24"/>
        </w:rPr>
        <w:t>Sau kiểm tra, dữ liệu được chuẩn hóa, băm, tổng hợp thành Merkle root và neo commitment lên blockchain EVM để hỗ trợ xác minh tính toàn vẹn sau thời điểm cam kết. Kết quả được phân loại thành PASS, REVIEW hoặc BLOCK cùng rule kích hoạt và dữ liệu liên quan, nhằm giúp người dùng truy xuất, giải thích và hậu kiểm. Các cảnh báo của hệ thống được định vị là dấu hiệu bất thường cần xem xét, không phải kết luận tự động về hành vi gian lận.</w:t>
      </w:r>
    </w:p>
    <w:p>
      <w:pPr>
        <w:spacing w:before="120" w:after="60"/>
        <w:jc w:val="center"/>
      </w:pPr>
      <w:r>
        <w:drawing>
          <wp:inline xmlns:a="http://schemas.openxmlformats.org/drawingml/2006/main" xmlns:pic="http://schemas.openxmlformats.org/drawingml/2006/picture">
            <wp:extent cx="5623560" cy="214791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23560" cy="2147916"/>
                    </a:xfrm>
                    <a:prstGeom prst="rect"/>
                  </pic:spPr>
                </pic:pic>
              </a:graphicData>
            </a:graphic>
          </wp:inline>
        </w:drawing>
      </w:r>
    </w:p>
    <w:p>
      <w:pPr>
        <w:spacing w:before="0" w:after="160"/>
        <w:jc w:val="center"/>
      </w:pPr>
      <w:r>
        <w:rPr>
          <w:rFonts w:ascii="Times New Roman" w:hAnsi="Times New Roman" w:eastAsia="Times New Roman"/>
          <w:b w:val="0"/>
          <w:i/>
          <w:sz w:val="21"/>
        </w:rPr>
        <w:t>Hình 1. Kiến trúc tổng thể của hệ thống BATS-AgriGuard</w:t>
      </w:r>
    </w:p>
    <w:p>
      <w:pPr>
        <w:spacing w:before="40" w:after="80" w:line="269" w:lineRule="auto"/>
        <w:ind w:left="0" w:firstLine="0"/>
        <w:jc w:val="both"/>
      </w:pPr>
      <w:r>
        <w:rPr>
          <w:rFonts w:ascii="Times New Roman" w:hAnsi="Times New Roman" w:eastAsia="Times New Roman"/>
          <w:b/>
          <w:i w:val="0"/>
          <w:sz w:val="24"/>
        </w:rPr>
        <w:t>Dựa trên hướng tiếp cận trên, đề tài dự kiến đóng góp:</w:t>
      </w:r>
    </w:p>
    <w:p>
      <w:pPr>
        <w:pStyle w:val="ListBullet"/>
        <w:spacing w:after="60" w:line="264" w:lineRule="auto"/>
        <w:jc w:val="both"/>
      </w:pPr>
      <w:r>
        <w:rPr>
          <w:rFonts w:ascii="Times New Roman" w:hAnsi="Times New Roman" w:eastAsia="Times New Roman"/>
          <w:b w:val="0"/>
          <w:i w:val="0"/>
          <w:sz w:val="22"/>
        </w:rPr>
        <w:t>Mô hình Digital Plantation Identity (DPI) biến mã số vùng trồng từ một chuỗi định danh đơn lẻ thành một thực thể số có ranh giới địa lý, diện tích, loại cây trồng, chủ thể được ủy quyền, trạng thái, thời gian hiệu lực và lịch sử sự kiện. Mô hình này tạo cơ sở để đối chiếu claim nguồn gốc với dữ liệu vùng trồng đã đăng ký.</w:t>
      </w:r>
    </w:p>
    <w:p>
      <w:pPr>
        <w:pStyle w:val="ListBullet"/>
        <w:spacing w:after="60" w:line="264" w:lineRule="auto"/>
        <w:jc w:val="both"/>
      </w:pPr>
      <w:r>
        <w:rPr>
          <w:rFonts w:ascii="Times New Roman" w:hAnsi="Times New Roman" w:eastAsia="Times New Roman"/>
          <w:b w:val="0"/>
          <w:i w:val="0"/>
          <w:sz w:val="22"/>
        </w:rPr>
        <w:t>Plantation Code Integrity Engine (PCIE) với tám nhóm bất biến giải thích được: Geospatial Integrity, Identity/Authorization, Plantation Status, Seasonal Yield Capacity, Evidence Duplication, Spatio-temporal Consistency, Mass Balance và Chain of Custody. PCIE mở rộng kiểm tra từ tính hợp lệ của một sự kiện sang tính nhất quán giữa nhiều sự kiện, lô hàng và chủ thể trong chuỗi.</w:t>
      </w:r>
    </w:p>
    <w:p>
      <w:pPr>
        <w:pStyle w:val="ListBullet"/>
        <w:spacing w:after="60" w:line="264" w:lineRule="auto"/>
        <w:jc w:val="both"/>
      </w:pPr>
      <w:r>
        <w:rPr>
          <w:rFonts w:ascii="Times New Roman" w:hAnsi="Times New Roman" w:eastAsia="Times New Roman"/>
          <w:b w:val="0"/>
          <w:i w:val="0"/>
          <w:sz w:val="22"/>
        </w:rPr>
        <w:t>Profile dữ liệu và luồng sự kiện căn chỉnh với GS1 EPCIS cho các nghiệp vụ trong phạm vi nghiên cứu, liên kết vùng trồng với sự kiện thu hoạch, tiếp nhận/chuyển giao, đóng gói và xuất hàng. Cách tổ chức này giúp tách rõ dữ liệu nghiệp vụ, dữ liệu không gian, bằng chứng và quan hệ custody để phục vụ trao đổi, truy vấn và hậu kiểm.</w:t>
      </w:r>
    </w:p>
    <w:p>
      <w:pPr>
        <w:pStyle w:val="ListBullet"/>
        <w:spacing w:after="60" w:line="264" w:lineRule="auto"/>
        <w:jc w:val="both"/>
      </w:pPr>
      <w:r>
        <w:rPr>
          <w:rFonts w:ascii="Times New Roman" w:hAnsi="Times New Roman" w:eastAsia="Times New Roman"/>
          <w:b w:val="0"/>
          <w:i w:val="0"/>
          <w:sz w:val="22"/>
        </w:rPr>
        <w:t>Cơ chế quyết định PASS - REVIEW - BLOCK có thể giải thích: mỗi quyết định gắn với rule kích hoạt và dữ liệu liên quan. REVIEW được sử dụng để đưa các trường hợp cần xem xét thêm vào hàng đợi hậu kiểm, tránh đồng nhất dấu hiệu bất thường với kết luận gian lận.</w:t>
      </w:r>
    </w:p>
    <w:p>
      <w:pPr>
        <w:pStyle w:val="ListBullet"/>
        <w:spacing w:after="60" w:line="264" w:lineRule="auto"/>
        <w:jc w:val="both"/>
      </w:pPr>
      <w:r>
        <w:rPr>
          <w:rFonts w:ascii="Times New Roman" w:hAnsi="Times New Roman" w:eastAsia="Times New Roman"/>
          <w:b w:val="0"/>
          <w:i w:val="0"/>
          <w:sz w:val="22"/>
        </w:rPr>
        <w:t>Kiến trúc validation-before-anchoring kết hợp lớp thu thập hiện trường, PostgreSQL/PostGIS, quản lý sự kiện và bằng chứng, cùng lớp Merkle/EVM. Dữ liệu chỉ được tạo commitment sau kiểm tra; blockchain vì vậy bảo toàn tính toàn vẹn sau cam kết và hỗ trợ inclusion verification, thay vì tự chứng minh tính đúng của dữ liệu đầu vào.</w:t>
      </w:r>
    </w:p>
    <w:p>
      <w:pPr>
        <w:pStyle w:val="ListBullet"/>
        <w:spacing w:after="60" w:line="264" w:lineRule="auto"/>
        <w:jc w:val="both"/>
      </w:pPr>
      <w:r>
        <w:rPr>
          <w:rFonts w:ascii="Times New Roman" w:hAnsi="Times New Roman" w:eastAsia="Times New Roman"/>
          <w:b w:val="0"/>
          <w:i w:val="0"/>
          <w:sz w:val="22"/>
        </w:rPr>
        <w:t>Khung kiểm chứng cho PoC gồm các kịch bản hợp lệ, biên và đối kháng đối với từng nhóm bất biến; đồng thời tách việc đánh giá rule engine, truy vấn không gian và Merkle để làm rõ phạm vi, giới hạn và tính khả thi kỹ thuật của từng thành phần.</w:t>
      </w:r>
    </w:p>
    <w:p>
      <w:pPr>
        <w:keepNext/>
        <w:spacing w:before="160" w:after="80"/>
        <w:jc w:val="left"/>
      </w:pPr>
      <w:r>
        <w:rPr>
          <w:rFonts w:ascii="Times New Roman" w:hAnsi="Times New Roman" w:eastAsia="Times New Roman"/>
          <w:b/>
          <w:i w:val="0"/>
          <w:color w:val="0000FF"/>
          <w:sz w:val="25"/>
        </w:rPr>
        <w:t>B2. Mục tiêu, nội dung, kế hoạch nghiên cứu</w:t>
      </w:r>
    </w:p>
    <w:p>
      <w:pPr>
        <w:pStyle w:val="ListBullet"/>
        <w:spacing w:after="60" w:line="264" w:lineRule="auto"/>
        <w:jc w:val="both"/>
      </w:pPr>
      <w:r>
        <w:rPr>
          <w:rFonts w:ascii="Times New Roman" w:hAnsi="Times New Roman" w:eastAsia="Times New Roman"/>
          <w:b w:val="0"/>
          <w:i w:val="0"/>
          <w:sz w:val="22"/>
        </w:rPr>
        <w:t>Nghiên cứu mô hình hóa dữ liệu vùng trồng, sự kiện truy xuất và các quan hệ provenance theo hướng căn chỉnh với GS1 EPCIS.</w:t>
      </w:r>
    </w:p>
    <w:p>
      <w:pPr>
        <w:pStyle w:val="ListBullet"/>
        <w:spacing w:after="60" w:line="264" w:lineRule="auto"/>
        <w:jc w:val="both"/>
      </w:pPr>
      <w:r>
        <w:rPr>
          <w:rFonts w:ascii="Times New Roman" w:hAnsi="Times New Roman" w:eastAsia="Times New Roman"/>
          <w:b w:val="0"/>
          <w:i w:val="0"/>
          <w:sz w:val="22"/>
        </w:rPr>
        <w:t>Thiết kế PCIE để kiểm tra tính toàn vẹn mã số vùng trồng và tính nhất quán dữ liệu ở cấp sự kiện lẫn xuyên sự kiện.</w:t>
      </w:r>
    </w:p>
    <w:p>
      <w:pPr>
        <w:pStyle w:val="ListBullet"/>
        <w:spacing w:after="60" w:line="264" w:lineRule="auto"/>
        <w:jc w:val="both"/>
      </w:pPr>
      <w:r>
        <w:rPr>
          <w:rFonts w:ascii="Times New Roman" w:hAnsi="Times New Roman" w:eastAsia="Times New Roman"/>
          <w:b w:val="0"/>
          <w:i w:val="0"/>
          <w:sz w:val="22"/>
        </w:rPr>
        <w:t>Hiện thực PoC, kiểm chứng theo các kịch bản xác định và báo cáo rõ phạm vi, giới hạn, khả năng áp dụng của hệ thống.</w:t>
      </w:r>
    </w:p>
    <w:p>
      <w:pPr>
        <w:keepNext/>
        <w:spacing w:before="160" w:after="80"/>
        <w:jc w:val="left"/>
      </w:pPr>
      <w:r>
        <w:rPr>
          <w:rFonts w:ascii="Times New Roman" w:hAnsi="Times New Roman" w:eastAsia="Times New Roman"/>
          <w:b/>
          <w:i w:val="0"/>
          <w:color w:val="0000FF"/>
          <w:sz w:val="23"/>
        </w:rPr>
        <w:t>B2.1. Mục tiêu</w:t>
      </w:r>
    </w:p>
    <w:p>
      <w:pPr>
        <w:spacing w:before="0" w:after="160" w:line="269" w:lineRule="auto"/>
        <w:ind w:left="0" w:firstLine="0"/>
        <w:jc w:val="both"/>
      </w:pPr>
      <w:r>
        <w:rPr>
          <w:rFonts w:ascii="Times New Roman" w:hAnsi="Times New Roman" w:eastAsia="Times New Roman"/>
          <w:b w:val="0"/>
          <w:i w:val="0"/>
          <w:sz w:val="24"/>
        </w:rPr>
        <w:t>Mục tiêu tổng quát: Xây dựng và đánh giá BATS-AgriGuard, hệ thống truy xuất nguồn gốc nông sản dựa trên GS1 EPCIS, tập trung kiểm tra tính toàn vẹn của mã số vùng trồng và tính nhất quán nguồn gốc xuyên suốt chuỗi cung ứng.</w:t>
      </w:r>
    </w:p>
    <w:p>
      <w:pPr>
        <w:spacing w:before="40" w:after="80" w:line="269" w:lineRule="auto"/>
        <w:ind w:left="0" w:firstLine="0"/>
        <w:jc w:val="both"/>
      </w:pPr>
      <w:r>
        <w:rPr>
          <w:rFonts w:ascii="Times New Roman" w:hAnsi="Times New Roman" w:eastAsia="Times New Roman"/>
          <w:b/>
          <w:i w:val="0"/>
          <w:sz w:val="24"/>
        </w:rPr>
        <w:t>Mục tiêu cụ thể:</w:t>
      </w:r>
    </w:p>
    <w:p>
      <w:pPr>
        <w:pStyle w:val="ListBullet"/>
        <w:spacing w:after="60" w:line="264" w:lineRule="auto"/>
        <w:jc w:val="both"/>
      </w:pPr>
      <w:r>
        <w:rPr>
          <w:rFonts w:ascii="Times New Roman" w:hAnsi="Times New Roman" w:eastAsia="Times New Roman"/>
          <w:b w:val="0"/>
          <w:i w:val="0"/>
          <w:sz w:val="22"/>
        </w:rPr>
        <w:t>Xây dựng mô hình DPI liên kết mã số vùng trồng với polygon địa lý, diện tích, loại cây trồng, chủ thể được ủy quyền, trạng thái và khoảng thời gian hiệu lực.</w:t>
      </w:r>
    </w:p>
    <w:p>
      <w:pPr>
        <w:pStyle w:val="ListBullet"/>
        <w:spacing w:after="60" w:line="264" w:lineRule="auto"/>
        <w:jc w:val="both"/>
      </w:pPr>
      <w:r>
        <w:rPr>
          <w:rFonts w:ascii="Times New Roman" w:hAnsi="Times New Roman" w:eastAsia="Times New Roman"/>
          <w:b w:val="0"/>
          <w:i w:val="0"/>
          <w:sz w:val="22"/>
        </w:rPr>
        <w:t>Xây dựng và đánh giá PCIE với tám nhóm bất biến: Geospatial Integrity (G), Identity/Authorization (I), Plantation Status (S), Seasonal Yield Capacity (Y), Evidence Duplication (D), Spatio-temporal Consistency (T), Mass Balance (M) và Chain of Custody (C).</w:t>
      </w:r>
    </w:p>
    <w:p>
      <w:pPr>
        <w:pStyle w:val="ListBullet"/>
        <w:spacing w:after="60" w:line="264" w:lineRule="auto"/>
        <w:jc w:val="both"/>
      </w:pPr>
      <w:r>
        <w:rPr>
          <w:rFonts w:ascii="Times New Roman" w:hAnsi="Times New Roman" w:eastAsia="Times New Roman"/>
          <w:b w:val="0"/>
          <w:i w:val="0"/>
          <w:sz w:val="22"/>
        </w:rPr>
        <w:t>Mô hình hóa các sự kiện truy xuất từ thu hoạch, chuyển giao, đóng gói đến xuất hàng theo hướng căn chỉnh với GS1 EPCIS, phục vụ trao đổi và truy vấn dữ liệu giữa các tác nhân.</w:t>
      </w:r>
    </w:p>
    <w:p>
      <w:pPr>
        <w:pStyle w:val="ListBullet"/>
        <w:spacing w:after="60" w:line="264" w:lineRule="auto"/>
        <w:jc w:val="both"/>
      </w:pPr>
      <w:r>
        <w:rPr>
          <w:rFonts w:ascii="Times New Roman" w:hAnsi="Times New Roman" w:eastAsia="Times New Roman"/>
          <w:b w:val="0"/>
          <w:i w:val="0"/>
          <w:sz w:val="22"/>
        </w:rPr>
        <w:t>Xây dựng cơ chế PASS - REVIEW - BLOCK có giải thích, mở rộng kiểm tra từ từng sự kiện riêng lẻ sang tính nhất quán giữa nhiều sự kiện và nhiều chủ thể.</w:t>
      </w:r>
    </w:p>
    <w:p>
      <w:pPr>
        <w:pStyle w:val="ListBullet"/>
        <w:spacing w:after="60" w:line="264" w:lineRule="auto"/>
        <w:jc w:val="both"/>
      </w:pPr>
      <w:r>
        <w:rPr>
          <w:rFonts w:ascii="Times New Roman" w:hAnsi="Times New Roman" w:eastAsia="Times New Roman"/>
          <w:b w:val="0"/>
          <w:i w:val="0"/>
          <w:sz w:val="22"/>
        </w:rPr>
        <w:t>Xây dựng cơ chế bảo toàn và xác minh bằng chứng bằng cryptographic hash, Merkle Tree và EVM blockchain anchoring; triển khai PoC và kiểm chứng trên kịch bản hợp lệ, biên và đối kháng.</w:t>
      </w:r>
    </w:p>
    <w:p>
      <w:pPr>
        <w:keepNext/>
        <w:spacing w:before="160" w:after="80"/>
        <w:jc w:val="left"/>
      </w:pPr>
      <w:r>
        <w:rPr>
          <w:rFonts w:ascii="Times New Roman" w:hAnsi="Times New Roman" w:eastAsia="Times New Roman"/>
          <w:b/>
          <w:i w:val="0"/>
          <w:color w:val="0000FF"/>
          <w:sz w:val="23"/>
        </w:rPr>
        <w:t>B2.2. Nội dung và phương pháp nghiên cứu</w:t>
      </w:r>
    </w:p>
    <w:p>
      <w:pPr>
        <w:keepNext/>
        <w:spacing w:before="160" w:after="80"/>
        <w:jc w:val="left"/>
      </w:pPr>
      <w:r>
        <w:rPr>
          <w:rFonts w:ascii="Times New Roman" w:hAnsi="Times New Roman" w:eastAsia="Times New Roman"/>
          <w:b/>
          <w:i w:val="0"/>
          <w:color w:val="0000FF"/>
          <w:sz w:val="23"/>
        </w:rPr>
        <w:t>Nội dung 1: Khảo sát cơ sở lý thuyết và đặc tả mô hình dữ liệu</w:t>
      </w:r>
    </w:p>
    <w:p>
      <w:pPr>
        <w:spacing w:before="0" w:after="80" w:line="269" w:lineRule="auto"/>
        <w:ind w:left="0" w:firstLine="0"/>
        <w:jc w:val="both"/>
      </w:pPr>
      <w:r>
        <w:rPr>
          <w:rFonts w:ascii="Times New Roman" w:hAnsi="Times New Roman" w:eastAsia="Times New Roman"/>
          <w:b/>
          <w:i w:val="0"/>
          <w:sz w:val="24"/>
        </w:rPr>
        <w:t>Mục tiêu: Xác định cơ sở khoa học, phạm vi hệ thống, tác nhân và lược đồ dữ liệu cần thiết để mô hình hóa mã số vùng trồng cùng lịch sử provenance.</w:t>
      </w:r>
    </w:p>
    <w:p>
      <w:pPr>
        <w:spacing w:before="0" w:after="160" w:line="269" w:lineRule="auto"/>
        <w:ind w:left="0" w:firstLine="0"/>
        <w:jc w:val="both"/>
      </w:pPr>
      <w:r>
        <w:rPr>
          <w:rFonts w:ascii="Times New Roman" w:hAnsi="Times New Roman" w:eastAsia="Times New Roman"/>
          <w:b w:val="0"/>
          <w:i w:val="0"/>
          <w:sz w:val="24"/>
        </w:rPr>
        <w:t>Phương pháp thực hiện: Nghiên cứu tài liệu về truy xuất nguồn gốc nông sản, GS1 EPCIS/CBV, dữ liệu không gian, Mass Balance, Chain of Custody và blockchain; phân tích khoảng trống giữa traceability và provenance integrity. Trên cơ sở đó, đặc tả DPI gồm mã vùng trồng, polygon, diện tích, loại cây trồng, quyền sử dụng, trạng thái và thời gian hiệu lực; mô hình hóa actor, batch, sự kiện, bằng chứng và quan hệ chuyển giao.</w:t>
      </w:r>
    </w:p>
    <w:p>
      <w:pPr>
        <w:spacing w:before="0" w:after="160" w:line="269" w:lineRule="auto"/>
        <w:ind w:left="0" w:firstLine="0"/>
        <w:jc w:val="both"/>
      </w:pPr>
      <w:r>
        <w:rPr>
          <w:rFonts w:ascii="Times New Roman" w:hAnsi="Times New Roman" w:eastAsia="Times New Roman"/>
          <w:b w:val="0"/>
          <w:i w:val="0"/>
          <w:sz w:val="24"/>
        </w:rPr>
        <w:t>Kết quả dự kiến: Bộ đặc tả dữ liệu DPI và profile sự kiện căn chỉnh GS1 EPCIS cho chuỗi vùng trồng → thu hoạch → chuyển giao → đóng gói → xuất hàng; xác định rõ phạm vi PoC, các tác nhân và giới hạn nghiên cứu.</w:t>
      </w:r>
    </w:p>
    <w:p>
      <w:pPr>
        <w:keepNext/>
        <w:spacing w:before="160" w:after="80"/>
        <w:jc w:val="left"/>
      </w:pPr>
      <w:r>
        <w:rPr>
          <w:rFonts w:ascii="Times New Roman" w:hAnsi="Times New Roman" w:eastAsia="Times New Roman"/>
          <w:b/>
          <w:i w:val="0"/>
          <w:color w:val="0000FF"/>
          <w:sz w:val="23"/>
        </w:rPr>
        <w:t>Nội dung 2: Xây dựng Plantation Code Integrity Engine (PCIE)</w:t>
      </w:r>
    </w:p>
    <w:p>
      <w:pPr>
        <w:spacing w:before="0" w:after="80" w:line="269" w:lineRule="auto"/>
        <w:ind w:left="0" w:firstLine="0"/>
        <w:jc w:val="both"/>
      </w:pPr>
      <w:r>
        <w:rPr>
          <w:rFonts w:ascii="Times New Roman" w:hAnsi="Times New Roman" w:eastAsia="Times New Roman"/>
          <w:b/>
          <w:i w:val="0"/>
          <w:sz w:val="24"/>
        </w:rPr>
        <w:t>Mục tiêu: Xây dựng lớp kiểm tra có thể giải thích, mở rộng đánh giá từ từng sự kiện đơn lẻ sang mối quan hệ giữa nhiều sự kiện và nhiều chủ thể.</w:t>
      </w:r>
    </w:p>
    <w:p>
      <w:pPr>
        <w:spacing w:before="0" w:after="160" w:line="269" w:lineRule="auto"/>
        <w:ind w:left="0" w:firstLine="0"/>
        <w:jc w:val="both"/>
      </w:pPr>
      <w:r>
        <w:rPr>
          <w:rFonts w:ascii="Times New Roman" w:hAnsi="Times New Roman" w:eastAsia="Times New Roman"/>
          <w:b w:val="0"/>
          <w:i w:val="0"/>
          <w:sz w:val="24"/>
        </w:rPr>
        <w:t>Phương pháp thực hiện: Xây dựng các luật kiểm tra giải thích được ở cấp sự kiện và xuyên sự kiện. Kiểm tra cấp sự kiện gồm geofence, quyền chủ thể, trạng thái/thời hạn mã vùng trồng, năng lực sản lượng theo mùa vụ và tái sử dụng bằng chứng theo policy. Kiểm tra xuyên sự kiện gồm tính nhất quán không gian - thời gian, Mass Balance và Chain of Custody. Kết quả được tổng hợp theo cơ chế PASS - REVIEW - BLOCK; risk score chỉ dùng để ưu tiên xem xét, không thay thế logic enforcement của các hard invariant.</w:t>
      </w:r>
    </w:p>
    <w:p>
      <w:pPr>
        <w:spacing w:before="0" w:after="160" w:line="269" w:lineRule="auto"/>
        <w:ind w:left="0" w:firstLine="0"/>
        <w:jc w:val="both"/>
      </w:pPr>
      <w:r>
        <w:rPr>
          <w:rFonts w:ascii="Times New Roman" w:hAnsi="Times New Roman" w:eastAsia="Times New Roman"/>
          <w:b w:val="0"/>
          <w:i w:val="0"/>
          <w:sz w:val="24"/>
        </w:rPr>
        <w:t>Kết quả dự kiến: PCIE trả về quyết định, rule kích hoạt và dữ liệu liên quan phục vụ giải thích; Review Queue lưu các trường hợp cần kiểm tra bổ sung. Mỗi cảnh báo được định vị là dấu hiệu bất thường cần hậu kiểm, không phải kết luận gian lận.</w:t>
      </w:r>
    </w:p>
    <w:p>
      <w:pPr>
        <w:keepNext/>
        <w:spacing w:before="160" w:after="80"/>
        <w:jc w:val="left"/>
      </w:pPr>
      <w:r>
        <w:rPr>
          <w:rFonts w:ascii="Times New Roman" w:hAnsi="Times New Roman" w:eastAsia="Times New Roman"/>
          <w:b/>
          <w:i w:val="0"/>
          <w:color w:val="0000FF"/>
          <w:sz w:val="23"/>
        </w:rPr>
        <w:t>Nội dung 3: Hiện thực PoC truy xuất, kiểm tra và bảo toàn bằng chứng</w:t>
      </w:r>
    </w:p>
    <w:p>
      <w:pPr>
        <w:spacing w:before="0" w:after="80" w:line="269" w:lineRule="auto"/>
        <w:ind w:left="0" w:firstLine="0"/>
        <w:jc w:val="both"/>
      </w:pPr>
      <w:r>
        <w:rPr>
          <w:rFonts w:ascii="Times New Roman" w:hAnsi="Times New Roman" w:eastAsia="Times New Roman"/>
          <w:b/>
          <w:i w:val="0"/>
          <w:sz w:val="24"/>
        </w:rPr>
        <w:t>Mục tiêu: Hiện thực một luồng vận hành tích hợp từ ghi nhận dữ liệu hiện trường đến truy xuất và xác minh bằng chứng sau kiểm tra.</w:t>
      </w:r>
    </w:p>
    <w:p>
      <w:pPr>
        <w:spacing w:before="0" w:after="160" w:line="269" w:lineRule="auto"/>
        <w:ind w:left="0" w:firstLine="0"/>
        <w:jc w:val="both"/>
      </w:pPr>
      <w:r>
        <w:rPr>
          <w:rFonts w:ascii="Times New Roman" w:hAnsi="Times New Roman" w:eastAsia="Times New Roman"/>
          <w:b w:val="0"/>
          <w:i w:val="0"/>
          <w:sz w:val="24"/>
        </w:rPr>
        <w:t>Phương pháp thực hiện: Hiện thực lớp quản lý dữ liệu nghiệp vụ và không gian bằng PostgreSQL/PostGIS; lớp thu thập dữ liệu hiện trường trên Zalo Mini App; website quản trị, truy xuất và xác minh QR/GS1 Digital Link; backend điều phối sự kiện, validation result, evidence và audit log. Các sự kiện được kiểm tra trước khi hash, tổng hợp Merkle root và neo commitment lên mạng EVM. Bằng chứng được dùng cho inclusion verification, không thay cho cơ chế xác thực sự thật vật lý.</w:t>
      </w:r>
    </w:p>
    <w:p>
      <w:pPr>
        <w:spacing w:before="0" w:after="160" w:line="269" w:lineRule="auto"/>
        <w:ind w:left="0" w:firstLine="0"/>
        <w:jc w:val="both"/>
      </w:pPr>
      <w:r>
        <w:rPr>
          <w:rFonts w:ascii="Times New Roman" w:hAnsi="Times New Roman" w:eastAsia="Times New Roman"/>
          <w:b w:val="0"/>
          <w:i w:val="0"/>
          <w:sz w:val="24"/>
        </w:rPr>
        <w:t>Kết quả dự kiến: Một vertical slice có thể ghi nhận dữ liệu vùng trồng và sự kiện, chạy PCIE, lưu lịch sử truy xuất, xử lý REVIEW và công bố bằng chứng Merkle/EVM sau kiểm tra. EPCIS được định vị là EPCIS-aligned trong phạm vi các ObjectEvent hỗ trợ, không tuyên bố GS1 EPCIS conformance đầy đủ.</w:t>
      </w:r>
    </w:p>
    <w:p>
      <w:pPr>
        <w:keepNext/>
        <w:spacing w:before="160" w:after="80"/>
        <w:jc w:val="left"/>
      </w:pPr>
      <w:r>
        <w:rPr>
          <w:rFonts w:ascii="Times New Roman" w:hAnsi="Times New Roman" w:eastAsia="Times New Roman"/>
          <w:b/>
          <w:i w:val="0"/>
          <w:color w:val="0000FF"/>
          <w:sz w:val="23"/>
        </w:rPr>
        <w:t>Nội dung 4: Kiểm chứng, đánh giá và hoàn thiện báo cáo</w:t>
      </w:r>
    </w:p>
    <w:p>
      <w:pPr>
        <w:spacing w:before="0" w:after="80" w:line="269" w:lineRule="auto"/>
        <w:ind w:left="0" w:firstLine="0"/>
        <w:jc w:val="both"/>
      </w:pPr>
      <w:r>
        <w:rPr>
          <w:rFonts w:ascii="Times New Roman" w:hAnsi="Times New Roman" w:eastAsia="Times New Roman"/>
          <w:b/>
          <w:i w:val="0"/>
          <w:sz w:val="24"/>
        </w:rPr>
        <w:t>Mục tiêu: Kiểm chứng implementation theo các kịch bản xác định, đánh giá khả năng phát hiện các lớp vi phạm đã đặc tả và báo cáo rõ giới hạn của kết quả.</w:t>
      </w:r>
    </w:p>
    <w:p>
      <w:pPr>
        <w:spacing w:before="0" w:after="160" w:line="269" w:lineRule="auto"/>
        <w:ind w:left="0" w:firstLine="0"/>
        <w:jc w:val="both"/>
      </w:pPr>
      <w:r>
        <w:rPr>
          <w:rFonts w:ascii="Times New Roman" w:hAnsi="Times New Roman" w:eastAsia="Times New Roman"/>
          <w:b w:val="0"/>
          <w:i w:val="0"/>
          <w:sz w:val="24"/>
        </w:rPr>
        <w:t>Phương pháp thực hiện: Thiết kế bộ kiểm thử độc lập gồm trường hợp hợp lệ, biên và đối kháng cho từng bất biến; dùng model-based testing cho Chain of Custody và property-based testing với seed cố định cho các tính chất của các rule. Kiểm tra profile EPCIS bằng JSON Schema chính thức trong phạm vi hỗ trợ; đánh giá metric TP, FP, TN, FN, Precision, Recall và F1 theo tập kịch bản. Thực hiện microbenchmark tách rời cho rule engine, truy vấn không gian PostGIS và Merkle; không diễn giải chúng thành latency end-to-end.</w:t>
      </w:r>
    </w:p>
    <w:p>
      <w:pPr>
        <w:spacing w:before="0" w:after="160" w:line="269" w:lineRule="auto"/>
        <w:ind w:left="0" w:firstLine="0"/>
        <w:jc w:val="both"/>
      </w:pPr>
      <w:r>
        <w:rPr>
          <w:rFonts w:ascii="Times New Roman" w:hAnsi="Times New Roman" w:eastAsia="Times New Roman"/>
          <w:b w:val="0"/>
          <w:i w:val="0"/>
          <w:sz w:val="24"/>
        </w:rPr>
        <w:t>Kết quả dự kiến: Báo cáo kiểm chứng implementation, coverage theo từng họ bất biến, phân tích ablation và độ nhạy các tham số sản lượng/Mass Balance; báo cáo benchmark riêng cho PCIE, PostGIS và Merkle, cùng thảo luận về hạn chế và hướng phát triển.</w:t>
      </w:r>
    </w:p>
    <w:p>
      <w:r>
        <w:br w:type="page"/>
      </w:r>
    </w:p>
    <w:p>
      <w:pPr>
        <w:keepNext/>
        <w:spacing w:before="160" w:after="80"/>
        <w:jc w:val="left"/>
      </w:pPr>
      <w:r>
        <w:rPr>
          <w:rFonts w:ascii="Times New Roman" w:hAnsi="Times New Roman" w:eastAsia="Times New Roman"/>
          <w:b/>
          <w:i w:val="0"/>
          <w:color w:val="0000FF"/>
          <w:sz w:val="23"/>
        </w:rPr>
        <w:t>B2.3. Kế hoạch nghiên cứu</w:t>
      </w:r>
    </w:p>
    <w:p>
      <w:pPr>
        <w:spacing w:before="40" w:after="80" w:line="269" w:lineRule="auto"/>
        <w:ind w:left="0" w:firstLine="0"/>
        <w:jc w:val="center"/>
      </w:pPr>
      <w:r>
        <w:rPr>
          <w:rFonts w:ascii="Times New Roman" w:hAnsi="Times New Roman" w:eastAsia="Times New Roman"/>
          <w:b/>
          <w:i w:val="0"/>
          <w:sz w:val="22"/>
        </w:rPr>
        <w:t>Bảng 1. Kế hoạch nghiên cứu</w:t>
      </w:r>
    </w:p>
    <w:tbl>
      <w:tblPr>
        <w:tblStyle w:val="TableGrid"/>
        <w:tblW w:type="dxa" w:w="9360"/>
        <w:jc w:val="center"/>
        <w:tblLayout w:type="fixed"/>
        <w:tblLook w:firstColumn="1" w:firstRow="1" w:lastColumn="0" w:lastRow="0" w:noHBand="0" w:noVBand="1" w:val="04A0"/>
        <w:tblInd w:w="0" w:type="dxa"/>
      </w:tblPr>
      <w:tblGrid>
        <w:gridCol w:w="1200"/>
        <w:gridCol w:w="5000"/>
        <w:gridCol w:w="3160"/>
      </w:tblGrid>
      <w:tr>
        <w:trPr>
          <w:tblHeader w:val="true"/>
        </w:trPr>
        <w:tc>
          <w:tcPr>
            <w:tcW w:type="dxa" w:w="120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0"/>
              </w:rPr>
              <w:t>Thời gian</w:t>
            </w:r>
          </w:p>
        </w:tc>
        <w:tc>
          <w:tcPr>
            <w:tcW w:type="dxa" w:w="500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0"/>
              </w:rPr>
              <w:t>Nội dung chính</w:t>
            </w:r>
          </w:p>
        </w:tc>
        <w:tc>
          <w:tcPr>
            <w:tcW w:type="dxa" w:w="3160"/>
            <w:shd w:fill="0000FF"/>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color w:val="FFFFFF"/>
                <w:sz w:val="20"/>
              </w:rPr>
              <w:t>Kết quả/đầu ra</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1</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Khảo sát tài liệu; xác định phạm vi, đối tượng, tác nhân và các khoảng trống nghiên cứu.</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Khung lý thuyết, phạm vi PoC và đặc tả yêu cầu.</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2</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Thiết kế DPI, dữ liệu vùng trồng, profile sự kiện và các bất biến PCIE.</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Đặc tả dữ liệu, rule và policy kiểm tra.</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3</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Hiện thực các kiểm tra cấp sự kiện; tích hợp PostgreSQL/PostGIS và quản lý evidence.</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PCIE phần kiểm tra G/I/S/Y/D; dữ liệu không gian và evidence.</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4</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Hiện thực kiểm tra xuyên sự kiện, Mass Balance, CoC và cơ chế PASS/REVIEW/BLOCK.</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PCIE phần T/M/C; Review Queue và evidence trail.</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5</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Tích hợp truy xuất, QR/GS1 Digital Link, Merkle commitment và EVM anchoring; xây dựng kịch bản kiểm thử.</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PoC tích hợp và bộ scenario kiểm chứng.</w:t>
            </w:r>
          </w:p>
        </w:tc>
      </w:tr>
      <w:tr>
        <w:tc>
          <w:tcPr>
            <w:tcW w:type="dxa" w:w="120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val="0"/>
                <w:i w:val="0"/>
                <w:sz w:val="20"/>
              </w:rPr>
              <w:t>Tháng 6</w:t>
            </w:r>
          </w:p>
        </w:tc>
        <w:tc>
          <w:tcPr>
            <w:tcW w:type="dxa" w:w="500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Đánh giá, phân tích kết quả, hoàn thiện báo cáo và sản phẩm trình bày.</w:t>
            </w:r>
          </w:p>
        </w:tc>
        <w:tc>
          <w:tcPr>
            <w:tcW w:type="dxa" w:w="3160"/>
            <w:tcMar>
              <w:top w:w="80" w:type="dxa"/>
              <w:start w:w="120" w:type="dxa"/>
              <w:bottom w:w="80" w:type="dxa"/>
              <w:end w:w="120" w:type="dxa"/>
            </w:tcMar>
            <w:vAlign w:val="center"/>
          </w:tcPr>
          <w:p>
            <w:pPr>
              <w:spacing w:after="0" w:line="264" w:lineRule="auto"/>
              <w:jc w:val="left"/>
            </w:pPr>
            <w:r>
              <w:rPr>
                <w:rFonts w:ascii="Times New Roman" w:hAnsi="Times New Roman" w:eastAsia="Times New Roman"/>
                <w:b w:val="0"/>
                <w:i w:val="0"/>
                <w:sz w:val="20"/>
              </w:rPr>
              <w:t>Báo cáo tổng kết, kết quả kiểm chứng và đề xuất hướng phát triển.</w:t>
            </w:r>
          </w:p>
        </w:tc>
      </w:tr>
    </w:tbl>
    <w:p>
      <w:pPr>
        <w:keepNext/>
        <w:spacing w:before="160" w:after="80"/>
        <w:jc w:val="left"/>
      </w:pPr>
      <w:r>
        <w:rPr>
          <w:rFonts w:ascii="Times New Roman" w:hAnsi="Times New Roman" w:eastAsia="Times New Roman"/>
          <w:b/>
          <w:i w:val="0"/>
          <w:color w:val="0000FF"/>
          <w:sz w:val="25"/>
        </w:rPr>
        <w:t>B3. Kết quả dự kiến</w:t>
      </w:r>
    </w:p>
    <w:p>
      <w:pPr>
        <w:pStyle w:val="ListBullet"/>
        <w:spacing w:after="60" w:line="264" w:lineRule="auto"/>
        <w:jc w:val="both"/>
      </w:pPr>
      <w:r>
        <w:rPr>
          <w:rFonts w:ascii="Times New Roman" w:hAnsi="Times New Roman" w:eastAsia="Times New Roman"/>
          <w:b w:val="0"/>
          <w:i w:val="0"/>
          <w:sz w:val="22"/>
        </w:rPr>
        <w:t>Mô hình DPI cho mã số vùng trồng, liên kết dữ liệu không gian, chủ thể, trạng thái, thời hạn hiệu lực và lịch sử sự kiện.</w:t>
      </w:r>
    </w:p>
    <w:p>
      <w:pPr>
        <w:pStyle w:val="ListBullet"/>
        <w:spacing w:after="60" w:line="264" w:lineRule="auto"/>
        <w:jc w:val="both"/>
      </w:pPr>
      <w:r>
        <w:rPr>
          <w:rFonts w:ascii="Times New Roman" w:hAnsi="Times New Roman" w:eastAsia="Times New Roman"/>
          <w:b w:val="0"/>
          <w:i w:val="0"/>
          <w:sz w:val="22"/>
        </w:rPr>
        <w:t>PCIE thực thi tám nhóm bất biến G/I/S/Y/D/T/M/C ở cấp sự kiện và xuyên sự kiện, có giải thích cho kết quả PASS, REVIEW hoặc BLOCK.</w:t>
      </w:r>
    </w:p>
    <w:p>
      <w:pPr>
        <w:pStyle w:val="ListBullet"/>
        <w:spacing w:after="60" w:line="264" w:lineRule="auto"/>
        <w:jc w:val="both"/>
      </w:pPr>
      <w:r>
        <w:rPr>
          <w:rFonts w:ascii="Times New Roman" w:hAnsi="Times New Roman" w:eastAsia="Times New Roman"/>
          <w:b w:val="0"/>
          <w:i w:val="0"/>
          <w:sz w:val="22"/>
        </w:rPr>
        <w:t>PoC BATS-AgriGuard gồm lớp thu thập dữ liệu hiện trường, website quản trị/truy xuất, backend, PostgreSQL/PostGIS, EPCIS Event Store, Review Queue, QR/GS1 Digital Link và lớp Merkle/EVM anchoring.</w:t>
      </w:r>
    </w:p>
    <w:p>
      <w:pPr>
        <w:pStyle w:val="ListBullet"/>
        <w:spacing w:after="60" w:line="264" w:lineRule="auto"/>
        <w:jc w:val="both"/>
      </w:pPr>
      <w:r>
        <w:rPr>
          <w:rFonts w:ascii="Times New Roman" w:hAnsi="Times New Roman" w:eastAsia="Times New Roman"/>
          <w:b w:val="0"/>
          <w:i w:val="0"/>
          <w:sz w:val="22"/>
        </w:rPr>
        <w:t>Bộ kiểm thử mô tả rõ kịch bản hợp lệ, biên và đối kháng; báo cáo kiểm chứng implementation, metric phân loại, ablation, phân tích độ nhạy và microbenchmark theo từng thành phần.</w:t>
      </w:r>
    </w:p>
    <w:p>
      <w:pPr>
        <w:pStyle w:val="ListBullet"/>
        <w:spacing w:after="60" w:line="264" w:lineRule="auto"/>
        <w:jc w:val="both"/>
      </w:pPr>
      <w:r>
        <w:rPr>
          <w:rFonts w:ascii="Times New Roman" w:hAnsi="Times New Roman" w:eastAsia="Times New Roman"/>
          <w:b w:val="0"/>
          <w:i w:val="0"/>
          <w:sz w:val="22"/>
        </w:rPr>
        <w:t>Báo cáo khoa học làm rõ đóng góp validation-before-anchoring, giới hạn của dữ liệu synthetic, giới hạn của blockchain đối với dữ liệu đầu vào, và các hạng mục cần hardening/pilot thực địa.</w:t>
      </w:r>
    </w:p>
    <w:p>
      <w:pPr>
        <w:spacing w:before="120" w:after="160" w:line="269" w:lineRule="auto"/>
        <w:ind w:left="0" w:firstLine="0"/>
        <w:jc w:val="both"/>
      </w:pPr>
      <w:r>
        <w:rPr>
          <w:rFonts w:ascii="Times New Roman" w:hAnsi="Times New Roman" w:eastAsia="Times New Roman"/>
          <w:b w:val="0"/>
          <w:i/>
          <w:sz w:val="24"/>
        </w:rPr>
        <w:t>Giới hạn cần nêu trong báo cáo: Hệ thống kiểm tra tính nhất quán của dữ liệu được cung cấp, không xác nhận chất lượng hoặc an toàn thực phẩm, không thay thế cơ quan quản lý/tổ chức chứng nhận/kiểm tra thực địa, và không coi bất thường là bằng chứng trực tiếp của hành vi gian lận.</w:t>
      </w:r>
    </w:p>
    <w:p>
      <w:pPr>
        <w:keepNext/>
        <w:spacing w:before="160" w:after="80"/>
        <w:jc w:val="left"/>
      </w:pPr>
      <w:r>
        <w:rPr>
          <w:rFonts w:ascii="Times New Roman" w:hAnsi="Times New Roman" w:eastAsia="Times New Roman"/>
          <w:b/>
          <w:i w:val="0"/>
          <w:color w:val="0000FF"/>
          <w:sz w:val="25"/>
        </w:rPr>
        <w:t>B4. Tài liệu tham khảo</w:t>
      </w:r>
    </w:p>
    <w:p>
      <w:pPr>
        <w:spacing w:after="60" w:line="276" w:lineRule="auto"/>
        <w:ind w:left="461" w:hanging="461"/>
        <w:jc w:val="both"/>
      </w:pPr>
      <w:r>
        <w:rPr>
          <w:rFonts w:ascii="Times New Roman" w:hAnsi="Times New Roman" w:eastAsia="Times New Roman"/>
          <w:b w:val="0"/>
          <w:i w:val="0"/>
          <w:sz w:val="21"/>
        </w:rPr>
        <w:t>[1] A. Ahmad and K. Bailey, “Blockchain in food traceability: A systematic literature review,” 2021 32nd Irish Signals and Systems Conference (ISSC), pp. 1-6, 2021.</w:t>
      </w:r>
    </w:p>
    <w:p>
      <w:pPr>
        <w:spacing w:after="60" w:line="276" w:lineRule="auto"/>
        <w:ind w:left="461" w:hanging="461"/>
        <w:jc w:val="both"/>
      </w:pPr>
      <w:r>
        <w:rPr>
          <w:rFonts w:ascii="Times New Roman" w:hAnsi="Times New Roman" w:eastAsia="Times New Roman"/>
          <w:b w:val="0"/>
          <w:i w:val="0"/>
          <w:sz w:val="21"/>
        </w:rPr>
        <w:t>[2] R. M. Ellahi, L. C. Wood, and A. E.-D. A. Bekhit, “Blockchain-based frameworks for food traceability: A systematic review,” Foods, vol. 12, no. 16, Art. no. 3026, 2023.</w:t>
      </w:r>
    </w:p>
    <w:p>
      <w:pPr>
        <w:spacing w:after="60" w:line="276" w:lineRule="auto"/>
        <w:ind w:left="461" w:hanging="461"/>
        <w:jc w:val="both"/>
      </w:pPr>
      <w:r>
        <w:rPr>
          <w:rFonts w:ascii="Times New Roman" w:hAnsi="Times New Roman" w:eastAsia="Times New Roman"/>
          <w:b w:val="0"/>
          <w:i w:val="0"/>
          <w:sz w:val="21"/>
        </w:rPr>
        <w:t>[3] A. Shahid et al., “Blockchain-based agri-food supply chain: A complete solution,” IEEE Access, vol. 8, pp. 69230-69243, 2020.</w:t>
      </w:r>
    </w:p>
    <w:p>
      <w:pPr>
        <w:spacing w:after="60" w:line="276" w:lineRule="auto"/>
        <w:ind w:left="461" w:hanging="461"/>
        <w:jc w:val="both"/>
      </w:pPr>
      <w:r>
        <w:rPr>
          <w:rFonts w:ascii="Times New Roman" w:hAnsi="Times New Roman" w:eastAsia="Times New Roman"/>
          <w:b w:val="0"/>
          <w:i w:val="0"/>
          <w:sz w:val="21"/>
        </w:rPr>
        <w:t>[4] M. P. Caro et al., “Blockchain-based traceability in Agri-Food supply chain management: A practical implementation,” IOT Tuscany, pp. 1-4, 2018.</w:t>
      </w:r>
    </w:p>
    <w:p>
      <w:pPr>
        <w:spacing w:after="60" w:line="276" w:lineRule="auto"/>
        <w:ind w:left="461" w:hanging="461"/>
        <w:jc w:val="both"/>
      </w:pPr>
      <w:r>
        <w:rPr>
          <w:rFonts w:ascii="Times New Roman" w:hAnsi="Times New Roman" w:eastAsia="Times New Roman"/>
          <w:b w:val="0"/>
          <w:i w:val="0"/>
          <w:sz w:val="21"/>
        </w:rPr>
        <w:t>[5] J. Ahn et al., “Oliot EPCIS: An open-source EPCIS 2.0 system for supply chain transparency,” SoftwareX, vol. 23, Art. no. 101477, 2023.</w:t>
      </w:r>
    </w:p>
    <w:p>
      <w:pPr>
        <w:spacing w:after="60" w:line="276" w:lineRule="auto"/>
        <w:ind w:left="461" w:hanging="461"/>
        <w:jc w:val="both"/>
      </w:pPr>
      <w:r>
        <w:rPr>
          <w:rFonts w:ascii="Times New Roman" w:hAnsi="Times New Roman" w:eastAsia="Times New Roman"/>
          <w:b w:val="0"/>
          <w:i w:val="0"/>
          <w:sz w:val="21"/>
        </w:rPr>
        <w:t>[6] L. Miloudi et al., “Smart sustainable farming management using integrated approach of IoT, blockchain &amp; geospatial technologies,” International Conference on Advanced Intelligent Systems for Sustainable Development, pp. 340-347, 2019.</w:t>
      </w:r>
    </w:p>
    <w:p>
      <w:pPr>
        <w:spacing w:after="60" w:line="276" w:lineRule="auto"/>
        <w:ind w:left="461" w:hanging="461"/>
        <w:jc w:val="both"/>
      </w:pPr>
      <w:r>
        <w:rPr>
          <w:rFonts w:ascii="Times New Roman" w:hAnsi="Times New Roman" w:eastAsia="Times New Roman"/>
          <w:b w:val="0"/>
          <w:i w:val="0"/>
          <w:sz w:val="21"/>
        </w:rPr>
        <w:t>[7] H. Wu, S. Jiang, and J. Cao, “High-efficiency blockchain-based supply chain traceability,” IEEE Transactions on Intelligent Transportation Systems, vol. 24, no. 4, pp. 3748-3758, 2023.</w:t>
      </w:r>
    </w:p>
    <w:p>
      <w:pPr>
        <w:spacing w:after="60" w:line="276" w:lineRule="auto"/>
        <w:ind w:left="461" w:hanging="461"/>
        <w:jc w:val="both"/>
      </w:pPr>
      <w:r>
        <w:rPr>
          <w:rFonts w:ascii="Times New Roman" w:hAnsi="Times New Roman" w:eastAsia="Times New Roman"/>
          <w:b w:val="0"/>
          <w:i w:val="0"/>
          <w:sz w:val="21"/>
        </w:rPr>
        <w:t>[8] T. H. Pranto et al., “Blockchain and smart contract for IoT enabled smart agriculture,” PeerJ Computer Science, vol. 7, Art. no. e407, 2021.</w:t>
      </w:r>
    </w:p>
    <w:p>
      <w:pPr>
        <w:spacing w:after="60" w:line="276" w:lineRule="auto"/>
        <w:ind w:left="461" w:hanging="461"/>
        <w:jc w:val="both"/>
      </w:pPr>
      <w:r>
        <w:rPr>
          <w:rFonts w:ascii="Times New Roman" w:hAnsi="Times New Roman" w:eastAsia="Times New Roman"/>
          <w:b w:val="0"/>
          <w:i w:val="0"/>
          <w:sz w:val="21"/>
        </w:rPr>
        <w:t>[9] A. Spitalleri et al., “BioTrak: A blockchain-based platform for food chain logistics traceability,” ICCNS, pp. 105-110, 2023.</w:t>
      </w:r>
    </w:p>
    <w:p>
      <w:pPr>
        <w:spacing w:after="60" w:line="276" w:lineRule="auto"/>
        <w:ind w:left="461" w:hanging="461"/>
        <w:jc w:val="both"/>
      </w:pPr>
      <w:r>
        <w:rPr>
          <w:rFonts w:ascii="Times New Roman" w:hAnsi="Times New Roman" w:eastAsia="Times New Roman"/>
          <w:b w:val="0"/>
          <w:i w:val="0"/>
          <w:sz w:val="21"/>
        </w:rPr>
        <w:t>[10] A. Albizri and D. Appelbaum, “Trust but verify: The oracle paradox of blockchain smart contracts,” Journal of Information Systems, vol. 35, no. 2, pp. 1-16, 2021.</w:t>
      </w:r>
    </w:p>
    <w:p>
      <w:r>
        <w:br w:type="page"/>
      </w:r>
    </w:p>
    <w:tbl>
      <w:tblPr>
        <w:tblW w:type="dxa" w:w="9360"/>
        <w:tblLayout w:type="fixed"/>
        <w:tblLook w:firstColumn="1" w:firstRow="1" w:lastColumn="0" w:lastRow="0" w:noHBand="0" w:noVBand="1" w:val="04A0"/>
        <w:tblBorders>
          <w:top w:val="nil"/>
          <w:left w:val="nil"/>
          <w:bottom w:val="nil"/>
          <w:right w:val="nil"/>
          <w:insideH w:val="nil"/>
          <w:insideV w:val="nil"/>
        </w:tblBorders>
        <w:tblInd w:w="0" w:type="dxa"/>
      </w:tblPr>
      <w:tblGrid>
        <w:gridCol w:w="4680"/>
        <w:gridCol w:w="4680"/>
      </w:tblGrid>
      <w:tr>
        <w:tc>
          <w:tcPr>
            <w:tcW w:type="dxa" w:w="468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sz w:val="22"/>
              </w:rPr>
              <w:t>Ngày ..... tháng ..... năm 2026</w:t>
              <w:br/>
              <w:t>GIẢNG VIÊN HƯỚNG DẪN</w:t>
              <w:br/>
              <w:t>(Ký và ghi rõ họ tên)</w:t>
              <w:br/>
              <w:br/>
              <w:br/>
              <w:br/>
            </w:r>
          </w:p>
        </w:tc>
        <w:tc>
          <w:tcPr>
            <w:tcW w:type="dxa" w:w="4680"/>
            <w:tcMar>
              <w:top w:w="80" w:type="dxa"/>
              <w:start w:w="120" w:type="dxa"/>
              <w:bottom w:w="80" w:type="dxa"/>
              <w:end w:w="120" w:type="dxa"/>
            </w:tcMar>
            <w:vAlign w:val="center"/>
          </w:tcPr>
          <w:p>
            <w:pPr>
              <w:spacing w:after="0" w:line="264" w:lineRule="auto"/>
              <w:jc w:val="center"/>
            </w:pPr>
            <w:r>
              <w:rPr>
                <w:rFonts w:ascii="Times New Roman" w:hAnsi="Times New Roman" w:eastAsia="Times New Roman"/>
                <w:b/>
                <w:i w:val="0"/>
                <w:sz w:val="22"/>
              </w:rPr>
              <w:t>Ngày ..... tháng ..... năm 2026</w:t>
              <w:br/>
              <w:t>CHỦ NHIỆM ĐỀ TÀI</w:t>
              <w:br/>
              <w:t>(Ký và ghi rõ họ tên)</w:t>
              <w:br/>
              <w:br/>
              <w:br/>
              <w:br/>
              <w:t>Nguyễn Đình Khang</w:t>
            </w:r>
          </w:p>
        </w:tc>
      </w:tr>
    </w:tbl>
    <w:sectPr w:rsidR="00FC693F" w:rsidRPr="0006063C" w:rsidSect="00034616">
      <w:footerReference w:type="default" r:id="rId10"/>
      <w:pgSz w:w="12240" w:h="15840"/>
      <w:pgMar w:top="893" w:right="1123" w:bottom="893"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BATS-AgriGuard - Dự thảo thuyết minh đề tài NCKH sinh viên 2026</dc:title>
  <dc:subject>Chuyển hóa từ nội dung công trình dự thi Eureka 2026</dc:subject>
  <dc:creator>Nguyễn Đình Khang; Võ Minh An</dc:creator>
  <cp:keywords/>
  <dc:description>generated by python-docx</dc:description>
  <cp:lastModifiedBy/>
  <cp:revision>1</cp:revision>
  <dcterms:created xsi:type="dcterms:W3CDTF">2013-12-23T23:15:00Z</dcterms:created>
  <dcterms:modified xsi:type="dcterms:W3CDTF">2013-12-23T23:15:00Z</dcterms:modified>
  <cp:category/>
</cp:coreProperties>
</file>