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0"/>
        </w:rPr>
        <w:t>CÔNG TRÌNH DỰ THI</w:t>
        <w:br/>
        <w:t>GIẢI THƯỞNG SINH VIÊN NGHIÊN CỨU KHOA HỌC EURÉKA</w:t>
        <w:br/>
        <w:t>NĂM 2026</w:t>
      </w:r>
    </w:p>
    <w:p/>
    <w:p/>
    <w:p/>
    <w:p/>
    <w:p>
      <w:pPr>
        <w:jc w:val="center"/>
      </w:pPr>
      <w:r>
        <w:rPr>
          <w:b/>
          <w:sz w:val="40"/>
        </w:rPr>
        <w:t>BATS-AGRIGUARD</w:t>
        <w:br/>
      </w:r>
      <w:r>
        <w:rPr>
          <w:b/>
          <w:sz w:val="28"/>
        </w:rPr>
        <w:t>HỆ THỐNG TRUY XUẤT NÔNG SẢN VÀ HỖ TRỢ PHÁT HIỆN</w:t>
        <w:br/>
        <w:t>LẠM DỤNG MÃ SỐ VÙNG TRỒNG DỰA TRÊN GS1 EPCIS,</w:t>
        <w:br/>
        <w:t>XÁC THỰC KHÔNG GIAN-THỜI GIAN, CÂN BẰNG KHỐI LƯỢNG</w:t>
        <w:br/>
        <w:t>VÀ NEO BẰNG CHỨNG BLOCKCHAIN</w:t>
      </w:r>
    </w:p>
    <w:p/>
    <w:p/>
    <w:p/>
    <w:p>
      <w:pPr>
        <w:jc w:val="center"/>
      </w:pPr>
      <w:r>
        <w:rPr>
          <w:i/>
          <w:sz w:val="24"/>
        </w:rPr>
        <w:t>Lĩnh vực nghiên cứu: Công nghệ thông tin</w:t>
        <w:br/>
        <w:t>Nhóm ngành: Hệ thống thông tin / Chuyển đổi số nông nghiệp</w:t>
      </w:r>
    </w:p>
    <w:p/>
    <w:p/>
    <w:p/>
    <w:p/>
    <w:p/>
    <w:p/>
    <w:p/>
    <w:p>
      <w:pPr>
        <w:jc w:val="center"/>
      </w:pPr>
      <w:r>
        <w:t>TP. HỒ CHÍ MINH - 2026</w:t>
      </w:r>
    </w:p>
    <w:p>
      <w:r>
        <w:br w:type="page"/>
      </w:r>
    </w:p>
    <w:p>
      <w:pPr>
        <w:pStyle w:val="Heading1"/>
      </w:pPr>
      <w:r>
        <w:t>TÓM TẮT CÔNG TRÌNH</w:t>
      </w:r>
    </w:p>
    <w:p/>
    <w:p>
      <w:pPr>
        <w:spacing w:line="307" w:lineRule="auto" w:after="120"/>
        <w:ind w:firstLine="403"/>
        <w:jc w:val="both"/>
      </w:pPr>
      <w:r>
        <w:rPr>
          <w:b w:val="0"/>
        </w:rPr>
        <w:t>Đề tài BATS-AgriGuard nghiên cứu hệ thống truy xuất nguồn gốc nông sản theo hướng chuẩn hóa dữ liệu sự kiện GS1 EPCIS, kết hợp kiểm tra không gian-thời gian, tính hợp lệ của mã số vùng trồng, cân bằng khối lượng và chuỗi custody. Nghiên cứu đặt trong bối cảnh chuyển đổi số nông nghiệp, truy xuất nguồn gốc thực phẩm sạch, đáp ứng hồ sơ/bằng chứng phục vụ đánh giá tuân thủ GAP/Chain of Custody, đồng thời hỗ trợ kết nối dữ liệu giữa nông dân, hợp tác xã, đơn vị thu gom, cơ sở đóng gói, nhà máy và doanh nghiệp tiêu thụ/xuất khẩu.</w:t>
      </w:r>
    </w:p>
    <w:p>
      <w:pPr>
        <w:spacing w:line="307" w:lineRule="auto" w:after="120"/>
        <w:ind w:firstLine="403"/>
        <w:jc w:val="both"/>
      </w:pPr>
      <w:r>
        <w:rPr>
          <w:b w:val="0"/>
        </w:rPr>
        <w:t>Nguyên tắc cốt lõi là validation-before-anchoring: blockchain chỉ neo bằng chứng để kiểm tra tính toàn vẹn sau commitment, không xác minh tự động tính đúng của dữ liệu đầu vào. Kết quả dự kiến được đánh giá thông qua kịch bản thực nghiệm độc lập, bao gồm truy xuất, phát hiện bất thường, mass balance, spatial validation, integrity và hiệu năng.</w:t>
      </w:r>
    </w:p>
    <w:p>
      <w:pPr>
        <w:pStyle w:val="Heading1"/>
      </w:pPr>
      <w:r>
        <w:t>NỘI DUNG CÔNG TRÌNH</w:t>
      </w:r>
    </w:p>
    <w:p>
      <w:pPr>
        <w:pStyle w:val="Heading1"/>
      </w:pPr>
      <w:r>
        <w:t>1. ĐẶT VẤN ĐỀ</w:t>
      </w:r>
    </w:p>
    <w:p>
      <w:pPr>
        <w:pStyle w:val="Heading2"/>
      </w:pPr>
      <w:r>
        <w:t>1.1. Bối cảnh</w:t>
      </w:r>
    </w:p>
    <w:p>
      <w:pPr>
        <w:spacing w:line="307" w:lineRule="auto" w:after="120"/>
        <w:ind w:firstLine="403"/>
        <w:jc w:val="both"/>
      </w:pPr>
      <w:r>
        <w:t>Chuyển đổi số nông nghiệp đang đặt ra yêu cầu số hóa và liên thông dữ liệu từ sản xuất đến tiêu thụ. Bối cảnh chính sách gần đây cho thấy truy xuất nguồn gốc đang được đặt trong yêu cầu tăng minh bạch quá trình sản xuất và tiêu thụ nông sản. Nghị định số 37/2026/NĐ-CP ngày 23/01/2026 quy định chi tiết một số điều và biện pháp tổ chức, hướng dẫn thi hành Luật Chất lượng sản phẩm, hàng hóa; theo khoản 1 Điều 22, truy xuất nguồn gốc là bắt buộc đối với sản phẩm, hàng hóa có mức độ rủi ro cao. Tuy nhiên, khoản 2 Điều 22 giao các bộ quản lý ngành, lĩnh vực ban hành danh mục sản phẩm, hàng hóa rủi ro cao và lộ trình bắt buộc áp dụng. Vì vậy, đề tài xem đây là căn cứ về định hướng và yêu cầu sẵn sàng dữ liệu, không suy diễn rằng toàn bộ nông sản đã đồng thời thuộc diện bắt buộc. Quy định về kết nối, chia sẻ dữ liệu và sự sẵn có của các phần tử dữ liệu chính trong hệ thống truy xuất cũng cho thấy ý nghĩa của việc chuẩn hóa dữ liệu sự kiện và liên thông chuỗi cung ứng. Trong chuỗi cung ứng nông sản, dữ liệu về vùng trồng, cây trồng, mùa vụ, thu hoạch, thu gom, đóng gói, chế biến, vận chuyển và giao nhận không chỉ phục vụ quản lý nội bộ mà còn hỗ trợ minh bạch thông tin đối với người mua, doanh nghiệp tiêu thụ, cơ quan quản lý và thị trường xuất khẩu.</w:t>
      </w:r>
    </w:p>
    <w:p>
      <w:pPr>
        <w:spacing w:line="307" w:lineRule="auto" w:after="120"/>
        <w:ind w:firstLine="403"/>
        <w:jc w:val="both"/>
      </w:pPr>
      <w:r>
        <w:rPr>
          <w:b w:val="0"/>
        </w:rPr>
        <w:t>Truy xuất nguồn gốc nông sản vì vậy ngày càng có vai trò quan trọng trong bảo đảm an toàn thực phẩm, quản lý chất lượng, kiểm soát vùng trồng, tổ chức thu hồi khi phát sinh sự cố và nâng cao khả năng trao đổi thông tin giữa các tác nhân trong chuỗi cung ứng. Đối với các chuỗi có yêu cầu về mã số vùng trồng, mã cơ sở đóng gói, hồ sơ sản xuất và bằng chứng tuân thủ, dữ liệu truy xuất còn là cơ sở hỗ trợ doanh nghiệp chứng minh quá trình hình thành, xử lý và lưu chuyển của lô hàng.</w:t>
      </w:r>
    </w:p>
    <w:p>
      <w:pPr>
        <w:spacing w:line="307" w:lineRule="auto" w:after="120"/>
        <w:ind w:firstLine="403"/>
        <w:jc w:val="both"/>
      </w:pPr>
      <w:r>
        <w:rPr>
          <w:b w:val="0"/>
        </w:rPr>
        <w:t>Trong bối cảnh đó, việc kết nối dữ liệu giữa nông dân, hợp tác xã, đơn vị thu gom, cơ sở đóng gói, nhà máy, doanh nghiệp tiêu thụ và xuất khẩu có ý nghĩa thực tiễn. Tuy nhiên, kết nối dữ liệu chỉ có giá trị khi thông tin được ghi nhận theo cấu trúc thống nhất, có thể kiểm tra ngữ cảnh phát sinh và có cơ chế hỗ trợ phát hiện các bất thường xuyên suốt chuỗi.</w:t>
      </w:r>
    </w:p>
    <w:p>
      <w:pPr>
        <w:spacing w:line="307" w:lineRule="auto" w:after="120"/>
        <w:ind w:firstLine="403"/>
        <w:jc w:val="both"/>
      </w:pPr>
      <w:r>
        <w:rPr>
          <w:b w:val="0"/>
        </w:rPr>
        <w:t>BATS-AgriGuard được định vị trong bối cảnh này như một hướng nghiên cứu về hệ thống thông tin cho truy xuất nguồn gốc nông sản. Trọng tâm không phải là áp dụng blockchain như một thành phần trình diễn, mà là nghiên cứu tính toàn vẹn của mã số vùng trồng và tính nhất quán của thông tin nguồn gốc xuyên chuỗi cung ứng.</w:t>
      </w:r>
    </w:p>
    <w:p>
      <w:pPr>
        <w:pStyle w:val="Heading2"/>
      </w:pPr>
      <w:r>
        <w:t>1.2. Vấn đề thực tiễn</w:t>
      </w:r>
    </w:p>
    <w:p>
      <w:pPr>
        <w:spacing w:line="307" w:lineRule="auto" w:after="120"/>
        <w:ind w:firstLine="403"/>
        <w:jc w:val="both"/>
      </w:pPr>
      <w:r>
        <w:rPr>
          <w:b w:val="0"/>
        </w:rPr>
        <w:t>Trong thực tế, dữ liệu nguồn gốc nông sản có thể được ghi nhận bởi nhiều chủ thể, trên nhiều biểu mẫu, nền tảng hoặc quy trình khác nhau. Điều này có thể làm phát sinh một số khó khăn:</w:t>
      </w:r>
    </w:p>
    <w:p>
      <w:pPr>
        <w:pStyle w:val="ListBullet"/>
        <w:spacing w:after="40"/>
      </w:pPr>
      <w:r>
        <w:t>Thông tin về vùng trồng, lô thu hoạch, khối lượng và bàn giao có thể không đồng nhất giữa các bên.</w:t>
      </w:r>
    </w:p>
    <w:p>
      <w:pPr>
        <w:pStyle w:val="ListBullet"/>
        <w:spacing w:after="40"/>
      </w:pPr>
      <w:r>
        <w:t>Dữ liệu giữa nông dân, hợp tác xã, thương lái, cơ sở đóng gói và doanh nghiệp có thể khó liên thông hoặc thiếu ngữ nghĩa thống nhất.</w:t>
      </w:r>
    </w:p>
    <w:p>
      <w:pPr>
        <w:pStyle w:val="ListBullet"/>
        <w:spacing w:after="40"/>
      </w:pPr>
      <w:r>
        <w:t>Việc kiểm tra sự phù hợp giữa mã số vùng trồng và vị trí thực tế của sự kiện thu hoạch đặt ra yêu cầu về dữ liệu không gian và thời gian.</w:t>
      </w:r>
    </w:p>
    <w:p>
      <w:pPr>
        <w:pStyle w:val="ListBullet"/>
        <w:spacing w:after="40"/>
      </w:pPr>
      <w:r>
        <w:t>Có nguy cơ mã số vùng trồng được sử dụng ngoài phạm vi chủ thể, vị trí, cây trồng hoặc thời hạn hiệu lực đã đăng ký.</w:t>
      </w:r>
    </w:p>
    <w:p>
      <w:pPr>
        <w:pStyle w:val="ListBullet"/>
        <w:spacing w:after="40"/>
      </w:pPr>
      <w:r>
        <w:t>Khối lượng khai báo tại từng công đoạn có thể không nhất quán với năng lực sản xuất, lượng đầu vào hoặc tỷ lệ hao hụt/chế biến hợp lý.</w:t>
      </w:r>
    </w:p>
    <w:p>
      <w:pPr>
        <w:pStyle w:val="ListBullet"/>
        <w:spacing w:after="40"/>
      </w:pPr>
      <w:r>
        <w:t>Hàng hóa ngoài vùng có thể bị gán vào một mã vùng trồng đang hợp lệ nếu chỉ kiểm tra mã định danh mà không đối chiếu quan hệ giữa vị trí, chủ thể, thời điểm và lịch sử sự kiện.</w:t>
      </w:r>
    </w:p>
    <w:p>
      <w:pPr>
        <w:pStyle w:val="ListBullet"/>
        <w:spacing w:after="40"/>
      </w:pPr>
      <w:r>
        <w:t>Nhiều điểm bàn giao trong chuỗi có thể làm tăng độ phức tạp của việc kiểm toán nguồn gốc, đặc biệt khi cần truy vết ngược từ lô xuất hàng về vùng trồng.</w:t>
      </w:r>
    </w:p>
    <w:p>
      <w:pPr>
        <w:pStyle w:val="ListBullet"/>
        <w:spacing w:after="40"/>
      </w:pPr>
      <w:r>
        <w:t>Nếu dữ liệu bằng chứng chỉ được lưu trong cơ sở dữ liệu tập trung, việc phát hiện thay đổi dữ liệu sau thời điểm ghi nhận có thể phụ thuộc nhiều vào cơ chế quản trị hệ thống và nhật ký nội bộ.</w:t>
      </w:r>
    </w:p>
    <w:p>
      <w:pPr>
        <w:spacing w:line="307" w:lineRule="auto" w:after="120"/>
        <w:ind w:firstLine="403"/>
        <w:jc w:val="both"/>
      </w:pPr>
      <w:r>
        <w:rPr>
          <w:b w:val="0"/>
        </w:rPr>
        <w:t>Các tình huống nêu trên không hàm ý rằng chúng xảy ra trong mọi chuỗi cung ứng hoặc mọi giao dịch. Tuy nhiên, chúng đặt ra yêu cầu nghiên cứu về cơ chế kiểm tra tính hợp lý, tính nhất quán và khả năng giải thích của dữ liệu truy xuất. Vấn đề cần giải quyết không chỉ là xác định “một lô hàng đã đi qua đâu”, mà còn là kiểm tra liệu lịch sử được khai báo có phù hợp với các ràng buộc về vùng trồng, chủ thể, thời gian, khối lượng và trình tự nghiệp vụ hay không.</w:t>
      </w:r>
    </w:p>
    <w:p>
      <w:pPr>
        <w:pStyle w:val="Heading2"/>
      </w:pPr>
      <w:r>
        <w:t>1.3. Hạn chế của các cách tiếp cận truyền thống</w:t>
      </w:r>
    </w:p>
    <w:p>
      <w:pPr>
        <w:spacing w:line="307" w:lineRule="auto" w:after="120"/>
        <w:ind w:firstLine="403"/>
        <w:jc w:val="both"/>
      </w:pPr>
      <w:r>
        <w:rPr>
          <w:b w:val="0"/>
        </w:rPr>
        <w:t>Hồ sơ giấy và dữ liệu phân tán giữa các tác nhân có ưu điểm là dễ triển khai ban đầu, nhưng gây khó khăn cho việc tổng hợp, đối chiếu và truy xuất xuyên chuỗi. Khi thông tin được ghi nhận trên nhiều hệ thống không có chuẩn chung, việc liên kết một sự kiện thu hoạch với lô đóng gói, giao nhận và xuất hàng thường đòi hỏi xử lý thủ công hoặc phụ thuộc vào thỏa thuận riêng giữa các bên.</w:t>
      </w:r>
    </w:p>
    <w:p>
      <w:pPr>
        <w:spacing w:line="307" w:lineRule="auto" w:after="120"/>
        <w:ind w:firstLine="403"/>
        <w:jc w:val="both"/>
      </w:pPr>
      <w:r>
        <w:rPr>
          <w:b w:val="0"/>
        </w:rPr>
        <w:t>Cơ sở dữ liệu tập trung có thể hỗ trợ quản lý vận hành hiệu quả, song tính toàn vẹn của dữ liệu sau khi ghi nhận phụ thuộc vào phân quyền, nhật ký hệ thống, sao lưu và cơ chế kiểm toán. Cách tiếp cận này chưa tự giải quyết bài toán kiểm tra tính hợp lý của dữ liệu đầu vào, ví dụ vị trí GPS có phù hợp với vùng trồng hay đầu ra tại cơ sở đóng gói có vượt quá đầu vào đã được xác minh hay không.</w:t>
      </w:r>
    </w:p>
    <w:p>
      <w:pPr>
        <w:spacing w:line="307" w:lineRule="auto" w:after="120"/>
        <w:ind w:firstLine="403"/>
        <w:jc w:val="both"/>
      </w:pPr>
      <w:r>
        <w:rPr>
          <w:b w:val="0"/>
        </w:rPr>
        <w:t>QR code hoặc Digital Link chủ yếu đóng vai trò định danh và cung cấp điểm truy cập tới thông tin truy xuất. Bản thân mã QR không tự bảo đảm thông tin đằng sau mã là chính xác, cũng không tự phát hiện dữ liệu bất thường trong quá trình hình thành lô hàng.</w:t>
      </w:r>
    </w:p>
    <w:p>
      <w:pPr>
        <w:spacing w:line="307" w:lineRule="auto" w:after="120"/>
        <w:ind w:firstLine="403"/>
        <w:jc w:val="both"/>
      </w:pPr>
      <w:r>
        <w:rPr>
          <w:b w:val="0"/>
        </w:rPr>
        <w:t>Blockchain có thể hỗ trợ ghi nhận cam kết mật mã, giảm khả năng thao túng dữ liệu sau khi đã được cam kết và tăng khả năng kiểm toán giữa các bên. Tuy nhiên, blockchain không tự chứng minh tọa độ, khối lượng, ảnh hiện trường hoặc thông tin do con người nhập là đúng với thực tế. Nếu dữ liệu đầu vào chưa được kiểm tra, việc neo dữ liệu lên blockchain chỉ làm tăng tính toàn vẹn của bản ghi đã cam kết, không làm cho dữ liệu ban đầu trở thành dữ liệu đúng.</w:t>
      </w:r>
    </w:p>
    <w:p>
      <w:pPr>
        <w:spacing w:line="307" w:lineRule="auto" w:after="120"/>
        <w:ind w:firstLine="403"/>
        <w:jc w:val="both"/>
      </w:pPr>
      <w:r>
        <w:rPr>
          <w:b w:val="0"/>
        </w:rPr>
        <w:t>Do đó, vấn đề nghiên cứu cần được đặt theo nguyên tắc: validation trước khi tạo bằng chứng bất biến. Cần có cơ chế kiểm tra dữ liệu trước khi dữ liệu hoặc tóm tắt dữ liệu được băm, gom thành Merkle batch và neo lên blockchain.</w:t>
      </w:r>
    </w:p>
    <w:p>
      <w:pPr>
        <w:pStyle w:val="Heading2"/>
      </w:pPr>
      <w:r>
        <w:t>1.4. Định hướng giải quyết</w:t>
      </w:r>
    </w:p>
    <w:p>
      <w:pPr>
        <w:spacing w:line="307" w:lineRule="auto" w:after="120"/>
        <w:ind w:firstLine="403"/>
        <w:jc w:val="both"/>
      </w:pPr>
      <w:r>
        <w:rPr>
          <w:b w:val="0"/>
        </w:rPr>
        <w:t>BATS-AgriGuard đề xuất luồng xử lý tổng quát:</w:t>
      </w:r>
    </w:p>
    <w:p>
      <w:pPr>
        <w:ind w:left="432"/>
      </w:pPr>
      <w:r>
        <w:rPr>
          <w:rFonts w:ascii="Courier New" w:hAnsi="Courier New"/>
        </w:rPr>
        <w:t>Field Actors</w:t>
      </w:r>
    </w:p>
    <w:p>
      <w:pPr>
        <w:ind w:left="432"/>
      </w:pPr>
      <w:r>
        <w:rPr>
          <w:rFonts w:ascii="Courier New" w:hAnsi="Courier New"/>
        </w:rPr>
        <w:t>→ Data Capture</w:t>
      </w:r>
    </w:p>
    <w:p>
      <w:pPr>
        <w:ind w:left="432"/>
      </w:pPr>
      <w:r>
        <w:rPr>
          <w:rFonts w:ascii="Courier New" w:hAnsi="Courier New"/>
        </w:rPr>
        <w:t>→ Field Evidence</w:t>
      </w:r>
    </w:p>
    <w:p>
      <w:pPr>
        <w:ind w:left="432"/>
      </w:pPr>
      <w:r>
        <w:rPr>
          <w:rFonts w:ascii="Courier New" w:hAnsi="Courier New"/>
        </w:rPr>
        <w:t>→ Connectivity/Offline Handling</w:t>
      </w:r>
    </w:p>
    <w:p>
      <w:pPr>
        <w:ind w:left="432"/>
      </w:pPr>
      <w:r>
        <w:rPr>
          <w:rFonts w:ascii="Courier New" w:hAnsi="Courier New"/>
        </w:rPr>
        <w:t>→ Backend API</w:t>
      </w:r>
    </w:p>
    <w:p>
      <w:pPr>
        <w:ind w:left="432"/>
      </w:pPr>
      <w:r>
        <w:rPr>
          <w:rFonts w:ascii="Courier New" w:hAnsi="Courier New"/>
        </w:rPr>
        <w:t>→ Authentication &amp; Role Management</w:t>
      </w:r>
    </w:p>
    <w:p>
      <w:pPr>
        <w:ind w:left="432"/>
      </w:pPr>
      <w:r>
        <w:rPr>
          <w:rFonts w:ascii="Courier New" w:hAnsi="Courier New"/>
        </w:rPr>
        <w:t>→ Traceability Service</w:t>
      </w:r>
    </w:p>
    <w:p>
      <w:pPr>
        <w:ind w:left="432"/>
      </w:pPr>
      <w:r>
        <w:rPr>
          <w:rFonts w:ascii="Courier New" w:hAnsi="Courier New"/>
        </w:rPr>
        <w:t>→ Validation Engine</w:t>
      </w:r>
    </w:p>
    <w:p>
      <w:pPr>
        <w:ind w:left="432"/>
      </w:pPr>
      <w:r>
        <w:rPr>
          <w:rFonts w:ascii="Courier New" w:hAnsi="Courier New"/>
        </w:rPr>
        <w:t>→ EPCIS/Data Storage</w:t>
      </w:r>
    </w:p>
    <w:p>
      <w:pPr>
        <w:ind w:left="432"/>
      </w:pPr>
      <w:r>
        <w:rPr>
          <w:rFonts w:ascii="Courier New" w:hAnsi="Courier New"/>
        </w:rPr>
        <w:t>→ Evidence Hashing</w:t>
      </w:r>
    </w:p>
    <w:p>
      <w:pPr>
        <w:ind w:left="432"/>
      </w:pPr>
      <w:r>
        <w:rPr>
          <w:rFonts w:ascii="Courier New" w:hAnsi="Courier New"/>
        </w:rPr>
        <w:t>→ Blockchain Evidence Anchoring</w:t>
      </w:r>
    </w:p>
    <w:p>
      <w:pPr>
        <w:ind w:left="432"/>
      </w:pPr>
      <w:r>
        <w:rPr>
          <w:rFonts w:ascii="Courier New" w:hAnsi="Courier New"/>
        </w:rPr>
        <w:t>→ Traceability / Verification / Dashboard</w:t>
      </w:r>
    </w:p>
    <w:p>
      <w:pPr>
        <w:spacing w:line="307" w:lineRule="auto" w:after="120"/>
        <w:ind w:firstLine="403"/>
        <w:jc w:val="both"/>
      </w:pPr>
      <w:r>
        <w:rPr>
          <w:b w:val="0"/>
        </w:rPr>
        <w:t>Trong quy trình nghiệp vụ, nông hộ hoặc hợp tác xã tạo sự kiện thu hoạch, kèm mã vùng trồng, tọa độ GPS, thời gian, khối lượng và bằng chứng hiện trường. Sau khi dữ liệu được gửi tới hệ thống, Plantation Code Integrity Engine (PCIE) thực hiện kiểm tra vị trí, chủ thể, trạng thái mã, năng suất, bằng chứng, thời gian và các điều kiện liên quan. Sự kiện có thể được chấp nhận, đưa vào hàng đợi rà soát hoặc bị chặn kèm lý do cần hiệu chỉnh.</w:t>
      </w:r>
    </w:p>
    <w:p>
      <w:pPr>
        <w:spacing w:line="307" w:lineRule="auto" w:after="120"/>
        <w:ind w:firstLine="403"/>
        <w:jc w:val="both"/>
      </w:pPr>
      <w:r>
        <w:rPr>
          <w:b w:val="0"/>
        </w:rPr>
        <w:t>Khi thương lái hoặc đơn vị thu gom xác nhận giao dịch, hệ thống tiếp nhận khối lượng thực tế, vị trí, thời điểm và bằng chứng bàn giao; sau đó thực hiện các kiểm tra về custody và cân bằng khối lượng. Các sự kiện hợp lệ hoặc đã qua quy trình rà soát được tổ chức trong kho sự kiện EPCIS trên PostgreSQL/PostGIS. Dữ liệu nghiệp vụ vẫn được lưu ngoài chuỗi để phục vụ truy vấn, cập nhật vận hành và xử lý dữ liệu không gian.</w:t>
      </w:r>
    </w:p>
    <w:p>
      <w:pPr>
        <w:spacing w:line="307" w:lineRule="auto" w:after="120"/>
        <w:ind w:firstLine="403"/>
        <w:jc w:val="both"/>
      </w:pPr>
      <w:r>
        <w:rPr>
          <w:b w:val="0"/>
        </w:rPr>
        <w:t>Ở lớp bảo toàn bằng chứng, hệ thống chuẩn hóa biểu diễn sự kiện, tạo hash cho event envelope, gom các hash thành Merkle batch và neo root theo chu kỳ lên EVM blockchain. Blockchain trong kiến trúc này là lớp integrity/evidence layer: hỗ trợ kiểm tra liệu dữ liệu đã cam kết có bị thay đổi sau đó hay không. Việc xác minh công khai thông qua QR/Digital Link có thể hiển thị thông tin nguồn gốc, trạng thái kiểm tra, tóm tắt mass balance và bằng chứng inclusion trong root đã neo, tùy theo quyền truy cập của người dùng.</w:t>
      </w:r>
    </w:p>
    <w:p>
      <w:pPr>
        <w:jc w:val="center"/>
      </w:pPr>
      <w:r>
        <w:drawing>
          <wp:inline xmlns:a="http://schemas.openxmlformats.org/drawingml/2006/main" xmlns:pic="http://schemas.openxmlformats.org/drawingml/2006/picture">
            <wp:extent cx="6217920" cy="3377034"/>
            <wp:docPr id="1" name="Picture 1"/>
            <wp:cNvGraphicFramePr>
              <a:graphicFrameLocks noChangeAspect="1"/>
            </wp:cNvGraphicFramePr>
            <a:graphic>
              <a:graphicData uri="http://schemas.openxmlformats.org/drawingml/2006/picture">
                <pic:pic>
                  <pic:nvPicPr>
                    <pic:cNvPr id="0" name="BATS Traceability - Workflow.png"/>
                    <pic:cNvPicPr/>
                  </pic:nvPicPr>
                  <pic:blipFill>
                    <a:blip r:embed="rId9"/>
                    <a:stretch>
                      <a:fillRect/>
                    </a:stretch>
                  </pic:blipFill>
                  <pic:spPr>
                    <a:xfrm>
                      <a:off x="0" y="0"/>
                      <a:ext cx="6217920" cy="3377034"/>
                    </a:xfrm>
                    <a:prstGeom prst="rect"/>
                  </pic:spPr>
                </pic:pic>
              </a:graphicData>
            </a:graphic>
          </wp:inline>
        </w:drawing>
      </w:r>
    </w:p>
    <w:p>
      <w:pPr>
        <w:jc w:val="center"/>
      </w:pPr>
      <w:r>
        <w:rPr>
          <w:i/>
          <w:sz w:val="20"/>
        </w:rPr>
        <w:t>Hình 1.1. Workflow nghiệp vụ của BATS-AgriGuard.</w:t>
      </w:r>
    </w:p>
    <w:p>
      <w:pPr>
        <w:jc w:val="center"/>
      </w:pPr>
      <w:r>
        <w:drawing>
          <wp:inline xmlns:a="http://schemas.openxmlformats.org/drawingml/2006/main" xmlns:pic="http://schemas.openxmlformats.org/drawingml/2006/picture">
            <wp:extent cx="6217920" cy="2375000"/>
            <wp:docPr id="2" name="Picture 2"/>
            <wp:cNvGraphicFramePr>
              <a:graphicFrameLocks noChangeAspect="1"/>
            </wp:cNvGraphicFramePr>
            <a:graphic>
              <a:graphicData uri="http://schemas.openxmlformats.org/drawingml/2006/picture">
                <pic:pic>
                  <pic:nvPicPr>
                    <pic:cNvPr id="0" name="BATS Traceability - System Architecture.png"/>
                    <pic:cNvPicPr/>
                  </pic:nvPicPr>
                  <pic:blipFill>
                    <a:blip r:embed="rId10"/>
                    <a:stretch>
                      <a:fillRect/>
                    </a:stretch>
                  </pic:blipFill>
                  <pic:spPr>
                    <a:xfrm>
                      <a:off x="0" y="0"/>
                      <a:ext cx="6217920" cy="2375000"/>
                    </a:xfrm>
                    <a:prstGeom prst="rect"/>
                  </pic:spPr>
                </pic:pic>
              </a:graphicData>
            </a:graphic>
          </wp:inline>
        </w:drawing>
      </w:r>
    </w:p>
    <w:p>
      <w:pPr>
        <w:jc w:val="center"/>
      </w:pPr>
      <w:r>
        <w:rPr>
          <w:i/>
          <w:sz w:val="20"/>
        </w:rPr>
        <w:t>Hình 1.2. Kiến trúc BATS-AgriGuard.</w:t>
      </w:r>
    </w:p>
    <w:p>
      <w:pPr>
        <w:pStyle w:val="Heading2"/>
      </w:pPr>
      <w:r>
        <w:t>1.5. Khoảng trống nghiên cứu</w:t>
      </w:r>
    </w:p>
    <w:p>
      <w:pPr>
        <w:spacing w:line="307" w:lineRule="auto" w:after="120"/>
        <w:ind w:firstLine="403"/>
        <w:jc w:val="both"/>
      </w:pPr>
      <w:r>
        <w:rPr>
          <w:b w:val="0"/>
        </w:rPr>
        <w:t>Các hướng nghiên cứu hiện có đã đóng góp đáng kể cho truy xuất nguồn gốc nông sản, bao gồm blockchain cho chuỗi cung ứng thực phẩm, IoT trong thu thập dữ liệu hiện trường, QR-based traceability, chuẩn GS1 EPCIS, quản lý chứng nhận và smart contract. Tuy nhiên, mỗi hướng thường tập trung vào một hoặc một số thành phần của bài toán.</w:t>
      </w:r>
    </w:p>
    <w:p>
      <w:pPr>
        <w:spacing w:line="307" w:lineRule="auto" w:after="120"/>
        <w:ind w:firstLine="403"/>
        <w:jc w:val="both"/>
      </w:pPr>
      <w:r>
        <w:rPr>
          <w:b w:val="0"/>
        </w:rPr>
        <w:t>Các nghiên cứu blockchain thường tập trung vào tính bất biến, chia sẻ dữ liệu và truy vết lịch sử; các nghiên cứu IoT tập trung vào tự động hóa thu thập dữ liệu; trong khi đó, GS1 EPCIS cung cấp ngôn ngữ chuẩn để mô hình hóa và trao đổi sự kiện chuỗi cung ứng. Những hướng này tạo nền tảng quan trọng, nhưng không mặc nhiên giải quyết được việc kiểm tra tính nhất quán của nguồn gốc xuyên nhiều sự kiện và nhiều tác nhân.</w:t>
      </w:r>
    </w:p>
    <w:p>
      <w:pPr>
        <w:spacing w:line="307" w:lineRule="auto" w:after="120"/>
        <w:ind w:firstLine="403"/>
        <w:jc w:val="both"/>
      </w:pPr>
      <w:r>
        <w:rPr>
          <w:b w:val="0"/>
        </w:rPr>
        <w:t>Đặc biệt, trong bối cảnh mã số vùng trồng, một sự kiện đơn lẻ có thể thỏa một số điều kiện như nằm trong vùng địa lý hợp lệ hoặc có hash bằng chứng hợp lệ, nhưng toàn bộ chuỗi vẫn có thể phát sinh bất thường. Ví dụ, cùng một mã vùng trồng có thể được sử dụng bởi chủ thể không được ủy quyền; tổng sản lượng tích lũy có thể vượt năng lực hợp lý của vùng; hoặc đầu ra ở cơ sở đóng gói có thể không phù hợp với tổng đầu vào có nguồn gốc đã được kiểm tra.</w:t>
      </w:r>
    </w:p>
    <w:p>
      <w:pPr>
        <w:spacing w:line="307" w:lineRule="auto" w:after="120"/>
        <w:ind w:firstLine="403"/>
        <w:jc w:val="both"/>
      </w:pPr>
      <w:r>
        <w:rPr>
          <w:b w:val="0"/>
        </w:rPr>
        <w:t>Từ đó, khoảng trống nghiên cứu được xác định là nhu cầu kết hợp chuẩn hóa sự kiện truy xuất với các cơ chế kiểm tra tính nhất quán xuyên chuỗi, đặc biệt đối với mã số vùng trồng, không gian-thời gian, cân bằng khối lượng và trạng thái custody, trước khi neo bằng chứng lên blockchain. Khoảng trống này dẫn trực tiếp đến mục tiêu xây dựng và đánh giá BATS-AgriGuard như một hệ thống truy xuất có khả năng kiểm tra bất thường theo các quy tắc xác định, đồng thời bảo toàn bằng chứng sau khi dữ liệu được cam kết.</w:t>
      </w:r>
    </w:p>
    <w:p>
      <w:pPr>
        <w:pStyle w:val="Heading1"/>
      </w:pPr>
      <w:r>
        <w:t>2. TỔNG QUAN TÀI LIỆU</w:t>
      </w:r>
    </w:p>
    <w:p>
      <w:pPr>
        <w:pStyle w:val="Heading2"/>
      </w:pPr>
      <w:r>
        <w:t>2.1. Tóm lược</w:t>
      </w:r>
    </w:p>
    <w:p>
      <w:pPr>
        <w:pStyle w:val="Heading3"/>
      </w:pPr>
      <w:r>
        <w:t>Nhóm 1 - Chuyển đổi số và truy xuất nguồn gốc nông nghiệp</w:t>
      </w:r>
    </w:p>
    <w:p>
      <w:pPr>
        <w:spacing w:line="307" w:lineRule="auto" w:after="120"/>
        <w:ind w:firstLine="403"/>
        <w:jc w:val="both"/>
      </w:pPr>
      <w:r>
        <w:rPr>
          <w:b w:val="0"/>
        </w:rPr>
        <w:t>Chuyển đổi số trong nông nghiệp không chỉ là số hóa một biểu mẫu hoặc triển khai một ứng dụng riêng lẻ, mà liên quan đến việc tổ chức dữ liệu xuyên suốt vòng đời nông sản. Các dữ liệu như vùng trồng, giống cây, nhật ký sản xuất, thu hoạch, lô hàng, vận chuyển, đóng gói và giao nhận cần được liên kết theo bối cảnh phát sinh để hỗ trợ quản trị chất lượng và truy xuất khi cần thiết.</w:t>
      </w:r>
    </w:p>
    <w:p>
      <w:pPr>
        <w:spacing w:line="307" w:lineRule="auto" w:after="120"/>
        <w:ind w:firstLine="403"/>
        <w:jc w:val="both"/>
      </w:pPr>
      <w:r>
        <w:rPr>
          <w:b w:val="0"/>
        </w:rPr>
        <w:t>Trong chuỗi nông sản, truy xuất nguồn gốc có thể hỗ trợ nhìn nhận quan hệ giữa lô hàng, quá trình sản xuất và các điểm chuyển giao. Tuy vậy, giá trị của truy xuất phụ thuộc vào mức độ đầy đủ, nhất quán và có thể kiểm tra của dữ liệu. Một hệ thống chỉ hiển thị lịch sử lô hàng nhưng thiếu kiểm tra quan hệ giữa vùng trồng, chủ thể và khối lượng vẫn có giới hạn trong việc phát hiện dữ liệu không hợp lý.</w:t>
      </w:r>
    </w:p>
    <w:p>
      <w:pPr>
        <w:pStyle w:val="Heading3"/>
      </w:pPr>
      <w:r>
        <w:t>Nhóm 2 - Chuẩn hóa dữ liệu và GS1 EPCIS</w:t>
      </w:r>
    </w:p>
    <w:p>
      <w:pPr>
        <w:spacing w:line="307" w:lineRule="auto" w:after="120"/>
        <w:ind w:firstLine="403"/>
        <w:jc w:val="both"/>
      </w:pPr>
      <w:r>
        <w:rPr>
          <w:b w:val="0"/>
        </w:rPr>
        <w:t>GS1 EPCIS là tiêu chuẩn hướng sự kiện nhằm mô hình hóa và chia sẻ dữ liệu visibility trong chuỗi cung ứng. Các sự kiện EPCIS trả lời các câu hỏi cơ bản như: đối tượng nào được xử lý, việc gì đã xảy ra, khi nào, ở đâu và trong bối cảnh nghiệp vụ nào. Cách tiếp cận này phù hợp với chuỗi nông sản vì sự kiện thu hoạch, gom hàng, đóng gói, chuyển giao, biến đổi và xuất hàng có thể được biểu diễn bằng cấu trúc dữ liệu có ngữ nghĩa.</w:t>
      </w:r>
    </w:p>
    <w:p>
      <w:pPr>
        <w:spacing w:line="307" w:lineRule="auto" w:after="120"/>
        <w:ind w:firstLine="403"/>
        <w:jc w:val="both"/>
      </w:pPr>
      <w:r>
        <w:rPr>
          <w:b w:val="0"/>
        </w:rPr>
        <w:t>EPCIS không tự xác nhận tính đúng của thông tin được khai báo. Vai trò của chuẩn là tạo ngôn ngữ dữ liệu chung, giúp các tác nhân có thể trao đổi và liên kết dữ liệu sự kiện. Vì vậy, BATS-AgriGuard sử dụng EPCIS như nền tảng chuẩn hóa và liên thông, đồng thời bổ sung profile nghiệp vụ, kiểm tra schema/Controlled Vocabulary và các luật validation phù hợp với chuỗi nông sản thí điểm.</w:t>
      </w:r>
    </w:p>
    <w:p>
      <w:pPr>
        <w:pStyle w:val="Heading3"/>
      </w:pPr>
      <w:r>
        <w:t>Nhóm 3 - Blockchain trong truy xuất nguồn gốc</w:t>
      </w:r>
    </w:p>
    <w:p>
      <w:pPr>
        <w:spacing w:line="307" w:lineRule="auto" w:after="120"/>
        <w:ind w:firstLine="403"/>
        <w:jc w:val="both"/>
      </w:pPr>
      <w:r>
        <w:rPr>
          <w:b w:val="0"/>
        </w:rPr>
        <w:t>Blockchain đã được nghiên cứu trong truy xuất nguồn gốc thực phẩm để hỗ trợ lưu dấu vết, chia sẻ thông tin giữa các bên, tăng khả năng đối chiếu lịch sử và bảo toàn cam kết dữ liệu. Một số nghiên cứu đề xuất lưu dữ liệu hoặc hash dữ liệu trên blockchain; các nghiên cứu khác kết hợp blockchain với IoT, QR code hoặc smart contract.</w:t>
      </w:r>
    </w:p>
    <w:p>
      <w:pPr>
        <w:spacing w:line="307" w:lineRule="auto" w:after="120"/>
        <w:ind w:firstLine="403"/>
        <w:jc w:val="both"/>
      </w:pPr>
      <w:r>
        <w:rPr>
          <w:b w:val="0"/>
        </w:rPr>
        <w:t>Hạn chế quan trọng cần được nhận diện là “oracle problem”: blockchain có thể bảo vệ tính toàn vẹn của dữ liệu sau khi dữ liệu được ghi hoặc cam kết, nhưng không tự bảo đảm dữ liệu đầu vào phản ánh đúng thực tế vật lý. Do đó, đối với BATS-AgriGuard, blockchain không phải lớp xác thực nguồn gốc thực tế; đây là lớp neo bằng chứng. Dữ liệu cần được kiểm tra trước, sau đó mới tạo canonical hash, Merkle proof và blockchain anchor.</w:t>
      </w:r>
    </w:p>
    <w:p>
      <w:pPr>
        <w:pStyle w:val="Heading3"/>
      </w:pPr>
      <w:r>
        <w:t>Nhóm 4 - Phát hiện gian lận và kiểm tra tính nhất quán</w:t>
      </w:r>
    </w:p>
    <w:p>
      <w:pPr>
        <w:spacing w:line="307" w:lineRule="auto" w:after="120"/>
        <w:ind w:firstLine="403"/>
        <w:jc w:val="both"/>
      </w:pPr>
      <w:r>
        <w:rPr>
          <w:b w:val="0"/>
        </w:rPr>
        <w:t>Trong chuỗi cung ứng nông sản, các bất thường có thể liên quan đến nguồn gốc, vị trí, chủ thể, trạng thái mã, khối lượng hoặc chuỗi custody. Cơ chế geofencing có thể hỗ trợ kiểm tra tọa độ sự kiện so với polygon vùng trồng. Kiểm tra actor/role giúp xác định chủ thể khai báo có quan hệ được ủy quyền với vùng trồng hay không. Kiểm tra thời gian có thể hỗ trợ nhận diện các sự kiện không phù hợp với hiệu lực mã hoặc có dấu hiệu bất thường theo không gian-thời gian.</w:t>
      </w:r>
    </w:p>
    <w:p>
      <w:pPr>
        <w:spacing w:line="307" w:lineRule="auto" w:after="120"/>
        <w:ind w:firstLine="403"/>
        <w:jc w:val="both"/>
      </w:pPr>
      <w:r>
        <w:rPr>
          <w:b w:val="0"/>
        </w:rPr>
        <w:t>Mass balance là cơ chế kiểm tra mối quan hệ giữa đầu vào và đầu ra theo công đoạn. Với cơ sở đóng gói hoặc chế biến, đầu ra mang một claim nguồn gốc cần phù hợp với đầu vào có provenance đã được xác minh, sau khi xét tỷ lệ thu hồi, hao hụt và dung sai nghiệp vụ. Vi phạm mass balance không tự chứng minh gian lận; đây là tín hiệu bất thường có thể xuất phát từ sự kiện thiếu, sai đơn vị, sai thao tác, tồn kho chuyển kỳ hoặc hành vi trộn/thay thế hàng hóa. Vì vậy, kết quả kiểm tra cần kèm lý do, dữ liệu liên quan và cơ chế rà soát.</w:t>
      </w:r>
    </w:p>
    <w:p>
      <w:pPr>
        <w:pStyle w:val="Heading3"/>
      </w:pPr>
      <w:r>
        <w:t>Nhóm 5 - GAP và yêu cầu thị trường</w:t>
      </w:r>
    </w:p>
    <w:p>
      <w:pPr>
        <w:spacing w:line="307" w:lineRule="auto" w:after="120"/>
        <w:ind w:firstLine="403"/>
        <w:jc w:val="both"/>
      </w:pPr>
      <w:r>
        <w:rPr>
          <w:b w:val="0"/>
        </w:rPr>
        <w:t>Các tiêu chuẩn thực hành nông nghiệp tốt và yêu cầu chuỗi hành trình sản phẩm, như VietGAP, GLOBALG.A.P. hoặc Chain of Custody, thường gắn với yêu cầu về hồ sơ, quy trình, khả năng định danh, phân tách, truy xuất và bằng chứng phục vụ đánh giá. Trong một số ngữ cảnh, mass balance là nội dung cần xem xét nhằm đối chiếu đầu vào và đầu ra của sản phẩm có claim liên quan.</w:t>
      </w:r>
    </w:p>
    <w:p>
      <w:pPr>
        <w:spacing w:line="307" w:lineRule="auto" w:after="120"/>
        <w:ind w:firstLine="403"/>
        <w:jc w:val="both"/>
      </w:pPr>
      <w:r>
        <w:rPr>
          <w:b w:val="0"/>
        </w:rPr>
        <w:t>BATS-AgriGuard không thực hiện chức năng cấp chứng nhận GAP hoặc thay thế tổ chức chứng nhận. Hệ thống được định hướng hỗ trợ số hóa, tập hợp, tổ chức và tra cứu các đối tượng bằng chứng, chẳng hạn nhật ký sản xuất, tài liệu kiểm nghiệm, hồ sơ đóng gói, chứng nhận và lịch sử giao dịch. Trạng thái bằng chứng có thể được biểu diễn như có sẵn, thiếu, hết hạn, chưa xác minh hoặc đã được xác nhận bởi cơ quan có thẩm quyền bên ngoài.</w:t>
      </w:r>
    </w:p>
    <w:p>
      <w:pPr>
        <w:pStyle w:val="Heading3"/>
      </w:pPr>
      <w:r>
        <w:t>Nhóm 6 - Kết nối sản xuất với tiêu thụ và xuất khẩu</w:t>
      </w:r>
    </w:p>
    <w:p>
      <w:pPr>
        <w:spacing w:line="307" w:lineRule="auto" w:after="120"/>
        <w:ind w:firstLine="403"/>
        <w:jc w:val="both"/>
      </w:pPr>
      <w:r>
        <w:rPr>
          <w:b w:val="0"/>
        </w:rPr>
        <w:t>Dữ liệu truy xuất có thể tạo cơ sở thông tin chung cho nông dân, hợp tác xã, đơn vị thu gom, cơ sở đóng gói, nhà máy, doanh nghiệp tiêu thụ, nhà nhập khẩu và người tiêu dùng. Với nông hộ và hợp tác xã, dữ liệu giúp tổ chức lịch sử số theo lô. Với cơ sở đóng gói và doanh nghiệp, dữ liệu có thể hỗ trợ kiểm tra đầu vào, kiểm soát claim nguồn gốc, chuẩn bị hồ sơ và truy xuất khi phát sinh yêu cầu.</w:t>
      </w:r>
    </w:p>
    <w:p>
      <w:pPr>
        <w:spacing w:line="307" w:lineRule="auto" w:after="120"/>
        <w:ind w:firstLine="403"/>
        <w:jc w:val="both"/>
      </w:pPr>
      <w:r>
        <w:rPr>
          <w:b w:val="0"/>
        </w:rPr>
        <w:t>Khả năng kết nối cung - cầu có thể được triển khai như lớp ứng dụng khai thác dữ liệu truy xuất. Tuy nhiên, giá trị của lớp ứng dụng phụ thuộc vào chất lượng dữ liệu, trạng thái validation và khả năng kiểm toán của bằng chứng. Vì thế, đề tài ưu tiên nghiên cứu nền tảng kiểm tra tính nhất quán trước khi mở rộng sang các chức năng kết nối thương mại.</w:t>
      </w:r>
    </w:p>
    <w:p>
      <w:pPr>
        <w:pStyle w:val="Heading2"/>
      </w:pPr>
      <w:r>
        <w:t>2.2. Các công trình nghiên cứu liên quan</w:t>
      </w:r>
    </w:p>
    <w:p>
      <w:pPr>
        <w:spacing w:line="307" w:lineRule="auto" w:after="120"/>
        <w:ind w:firstLine="403"/>
        <w:jc w:val="both"/>
      </w:pPr>
      <w:r>
        <w:rPr>
          <w:b w:val="0"/>
        </w:rPr>
        <w:t>Các công trình về blockchain-based agricultural traceability đã cho thấy khả năng sử dụng sổ cái phân tán để lưu dấu vết và chia sẻ thông tin giữa các bên trong chuỗi nông sản. Caro và cộng sự trình bày một hướng triển khai truy xuất nông sản dựa trên blockchain, nhấn mạnh khả năng ghi nhận lịch sử chuỗi cung ứng [3]. Các bài tổng quan của Ahmad và Bailey, cũng như Ellahi, Wood và Bekhit, tổng hợp các hướng ứng dụng blockchain trong food traceability, đồng thời cho thấy sự đa dạng của kiến trúc, mô hình dữ liệu và thách thức triển khai [4], [5].</w:t>
      </w:r>
    </w:p>
    <w:p>
      <w:pPr>
        <w:spacing w:line="307" w:lineRule="auto" w:after="120"/>
        <w:ind w:firstLine="403"/>
        <w:jc w:val="both"/>
      </w:pPr>
      <w:r>
        <w:rPr>
          <w:b w:val="0"/>
        </w:rPr>
        <w:t>Ở hướng chuẩn hóa dữ liệu, EPCIS 2.0 và các artefact chuẩn của GS1 cung cấp cơ sở để mô hình hóa, chia sẻ và kiểm tra cấu trúc dữ liệu sự kiện. Công trình Oliot EPCIS của Ahn và cộng sự cho thấy khả năng triển khai hệ thống EPCIS mã nguồn mở phục vụ minh bạch chuỗi cung ứng [2]. Tuy nhiên, việc sử dụng EPCIS cần gắn với profile nghiệp vụ cụ thể; chỉ có cấu trúc sự kiện chưa đủ để xác định rằng chuỗi dữ liệu tuân thủ các ràng buộc về mã vùng trồng, khối lượng hoặc custody.</w:t>
      </w:r>
    </w:p>
    <w:p>
      <w:pPr>
        <w:spacing w:line="307" w:lineRule="auto" w:after="120"/>
        <w:ind w:firstLine="403"/>
        <w:jc w:val="both"/>
      </w:pPr>
      <w:r>
        <w:rPr>
          <w:b w:val="0"/>
        </w:rPr>
        <w:t>Các nghiên cứu về blockchain và smart contract cũng chỉ ra hạn chế của dữ liệu đầu vào. Albizri và Appelbaum phân tích “oracle paradox”, theo đó smart contract và blockchain vẫn phụ thuộc vào chất lượng, độ tin cậy và cơ chế kiểm chứng dữ liệu từ thế giới thực [6]. Nhận định này là cơ sở lý luận quan trọng cho nguyên tắc validation-before-anchoring của BATS-AgriGuard.</w:t>
      </w:r>
    </w:p>
    <w:p>
      <w:pPr>
        <w:spacing w:line="307" w:lineRule="auto" w:after="120"/>
        <w:ind w:firstLine="403"/>
        <w:jc w:val="both"/>
      </w:pPr>
      <w:r>
        <w:rPr>
          <w:b w:val="0"/>
        </w:rPr>
        <w:t>Trong lĩnh vực quản lý chuỗi hành trình sản phẩm, tài liệu Chain of Custody của GLOBALG.A.P. đặt trọng tâm vào định danh, phân tách, truy xuất và đối chiếu đầu vào - đầu ra theo yêu cầu kiểm toán độc lập [7], [8]. Những yêu cầu này gợi mở việc áp dụng mass balance như một kiểm tra dữ liệu xuyên công đoạn. Tuy vậy, hệ thống thông tin chỉ có thể hỗ trợ tập hợp bằng chứng, kiểm tra tính nhất quán và chuẩn bị dữ liệu cho đánh giá; quyết định chứng nhận vẫn thuộc phạm vi của tổ chức chứng nhận độc lập.</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2F3"/>
          </w:tcPr>
          <w:p>
            <w:pPr>
              <w:spacing w:after="0" w:line="240" w:lineRule="auto"/>
            </w:pPr>
            <w:r/>
            <w:r>
              <w:rPr>
                <w:rFonts w:ascii="Times New Roman" w:hAnsi="Times New Roman" w:eastAsia="Times New Roman"/>
                <w:b/>
                <w:sz w:val="14"/>
              </w:rPr>
              <w:t>Công trình/nhóm nghiên cứu</w:t>
            </w:r>
          </w:p>
        </w:tc>
        <w:tc>
          <w:tcPr>
            <w:tcW w:type="dxa" w:w="1680"/>
            <w:vAlign w:val="center"/>
            <w:shd w:fill="D9E2F3"/>
          </w:tcPr>
          <w:p>
            <w:pPr>
              <w:spacing w:after="0" w:line="240" w:lineRule="auto"/>
            </w:pPr>
            <w:r/>
            <w:r>
              <w:rPr>
                <w:rFonts w:ascii="Times New Roman" w:hAnsi="Times New Roman" w:eastAsia="Times New Roman"/>
                <w:b/>
                <w:sz w:val="14"/>
              </w:rPr>
              <w:t>Bài toán</w:t>
            </w:r>
          </w:p>
        </w:tc>
        <w:tc>
          <w:tcPr>
            <w:tcW w:type="dxa" w:w="1680"/>
            <w:vAlign w:val="center"/>
            <w:shd w:fill="D9E2F3"/>
          </w:tcPr>
          <w:p>
            <w:pPr>
              <w:spacing w:after="0" w:line="240" w:lineRule="auto"/>
            </w:pPr>
            <w:r/>
            <w:r>
              <w:rPr>
                <w:rFonts w:ascii="Times New Roman" w:hAnsi="Times New Roman" w:eastAsia="Times New Roman"/>
                <w:b/>
                <w:sz w:val="14"/>
              </w:rPr>
              <w:t>Công nghệ/phương pháp</w:t>
            </w:r>
          </w:p>
        </w:tc>
        <w:tc>
          <w:tcPr>
            <w:tcW w:type="dxa" w:w="1680"/>
            <w:vAlign w:val="center"/>
            <w:shd w:fill="D9E2F3"/>
          </w:tcPr>
          <w:p>
            <w:pPr>
              <w:spacing w:after="0" w:line="240" w:lineRule="auto"/>
            </w:pPr>
            <w:r/>
            <w:r>
              <w:rPr>
                <w:rFonts w:ascii="Times New Roman" w:hAnsi="Times New Roman" w:eastAsia="Times New Roman"/>
                <w:b/>
                <w:sz w:val="14"/>
              </w:rPr>
              <w:t>Điểm đóng góp</w:t>
            </w:r>
          </w:p>
        </w:tc>
        <w:tc>
          <w:tcPr>
            <w:tcW w:type="dxa" w:w="1680"/>
            <w:vAlign w:val="center"/>
            <w:shd w:fill="D9E2F3"/>
          </w:tcPr>
          <w:p>
            <w:pPr>
              <w:spacing w:after="0" w:line="240" w:lineRule="auto"/>
            </w:pPr>
            <w:r/>
            <w:r>
              <w:rPr>
                <w:rFonts w:ascii="Times New Roman" w:hAnsi="Times New Roman" w:eastAsia="Times New Roman"/>
                <w:b/>
                <w:sz w:val="14"/>
              </w:rPr>
              <w:t>Hạn chế/khoảng trống</w:t>
            </w:r>
          </w:p>
        </w:tc>
        <w:tc>
          <w:tcPr>
            <w:tcW w:type="dxa" w:w="1680"/>
            <w:vAlign w:val="center"/>
            <w:shd w:fill="D9E2F3"/>
          </w:tcPr>
          <w:p>
            <w:pPr>
              <w:spacing w:after="0" w:line="240" w:lineRule="auto"/>
            </w:pPr>
            <w:r/>
            <w:r>
              <w:rPr>
                <w:rFonts w:ascii="Times New Roman" w:hAnsi="Times New Roman" w:eastAsia="Times New Roman"/>
                <w:b/>
                <w:sz w:val="14"/>
              </w:rPr>
              <w:t>Liên hệ với BATS-AgriGuard</w:t>
            </w:r>
          </w:p>
        </w:tc>
      </w:tr>
      <w:tr>
        <w:tc>
          <w:tcPr>
            <w:tcW w:type="dxa" w:w="1680"/>
            <w:vAlign w:val="center"/>
          </w:tcPr>
          <w:p>
            <w:pPr>
              <w:spacing w:after="0" w:line="240" w:lineRule="auto"/>
            </w:pPr>
            <w:r/>
            <w:r>
              <w:rPr>
                <w:rFonts w:ascii="Times New Roman" w:hAnsi="Times New Roman" w:eastAsia="Times New Roman"/>
                <w:b w:val="0"/>
                <w:sz w:val="14"/>
              </w:rPr>
              <w:t>Caro và cộng sự [3]</w:t>
            </w:r>
          </w:p>
        </w:tc>
        <w:tc>
          <w:tcPr>
            <w:tcW w:type="dxa" w:w="1680"/>
            <w:vAlign w:val="center"/>
          </w:tcPr>
          <w:p>
            <w:pPr>
              <w:spacing w:after="0" w:line="240" w:lineRule="auto"/>
            </w:pPr>
            <w:r/>
            <w:r>
              <w:rPr>
                <w:rFonts w:ascii="Times New Roman" w:hAnsi="Times New Roman" w:eastAsia="Times New Roman"/>
                <w:b w:val="0"/>
                <w:sz w:val="14"/>
              </w:rPr>
              <w:t>Truy xuất chuỗi nông sản</w:t>
            </w:r>
          </w:p>
        </w:tc>
        <w:tc>
          <w:tcPr>
            <w:tcW w:type="dxa" w:w="1680"/>
            <w:vAlign w:val="center"/>
          </w:tcPr>
          <w:p>
            <w:pPr>
              <w:spacing w:after="0" w:line="240" w:lineRule="auto"/>
            </w:pPr>
            <w:r/>
            <w:r>
              <w:rPr>
                <w:rFonts w:ascii="Times New Roman" w:hAnsi="Times New Roman" w:eastAsia="Times New Roman"/>
                <w:b w:val="0"/>
                <w:sz w:val="14"/>
              </w:rPr>
              <w:t>Blockchain-based traceability</w:t>
            </w:r>
          </w:p>
        </w:tc>
        <w:tc>
          <w:tcPr>
            <w:tcW w:type="dxa" w:w="1680"/>
            <w:vAlign w:val="center"/>
          </w:tcPr>
          <w:p>
            <w:pPr>
              <w:spacing w:after="0" w:line="240" w:lineRule="auto"/>
            </w:pPr>
            <w:r/>
            <w:r>
              <w:rPr>
                <w:rFonts w:ascii="Times New Roman" w:hAnsi="Times New Roman" w:eastAsia="Times New Roman"/>
                <w:b w:val="0"/>
                <w:sz w:val="14"/>
              </w:rPr>
              <w:t>Minh họa khả năng lưu vết và chia sẻ dữ liệu chuỗi nông sản</w:t>
            </w:r>
          </w:p>
        </w:tc>
        <w:tc>
          <w:tcPr>
            <w:tcW w:type="dxa" w:w="1680"/>
            <w:vAlign w:val="center"/>
          </w:tcPr>
          <w:p>
            <w:pPr>
              <w:spacing w:after="0" w:line="240" w:lineRule="auto"/>
            </w:pPr>
            <w:r/>
            <w:r>
              <w:rPr>
                <w:rFonts w:ascii="Times New Roman" w:hAnsi="Times New Roman" w:eastAsia="Times New Roman"/>
                <w:b w:val="0"/>
                <w:sz w:val="14"/>
              </w:rPr>
              <w:t>Trọng tâm là kiến trúc truy xuất; không phải mô hình kiểm tra xuyên sự kiện cho mã vùng trồng</w:t>
            </w:r>
          </w:p>
        </w:tc>
        <w:tc>
          <w:tcPr>
            <w:tcW w:type="dxa" w:w="1680"/>
            <w:vAlign w:val="center"/>
          </w:tcPr>
          <w:p>
            <w:pPr>
              <w:spacing w:after="0" w:line="240" w:lineRule="auto"/>
            </w:pPr>
            <w:r/>
            <w:r>
              <w:rPr>
                <w:rFonts w:ascii="Times New Roman" w:hAnsi="Times New Roman" w:eastAsia="Times New Roman"/>
                <w:b w:val="0"/>
                <w:sz w:val="14"/>
              </w:rPr>
              <w:t>Cung cấp nền tảng tham khảo cho lớp integrity, nhưng BATS-AgriGuard ưu tiên validation trước anchoring</w:t>
            </w:r>
          </w:p>
        </w:tc>
      </w:tr>
      <w:tr>
        <w:tc>
          <w:tcPr>
            <w:tcW w:type="dxa" w:w="1680"/>
            <w:vAlign w:val="center"/>
          </w:tcPr>
          <w:p>
            <w:pPr>
              <w:spacing w:after="0" w:line="240" w:lineRule="auto"/>
            </w:pPr>
            <w:r/>
            <w:r>
              <w:rPr>
                <w:rFonts w:ascii="Times New Roman" w:hAnsi="Times New Roman" w:eastAsia="Times New Roman"/>
                <w:b w:val="0"/>
                <w:sz w:val="14"/>
              </w:rPr>
              <w:t>Ahmad và Bailey [4]; Ellahi và cộng sự [5]</w:t>
            </w:r>
          </w:p>
        </w:tc>
        <w:tc>
          <w:tcPr>
            <w:tcW w:type="dxa" w:w="1680"/>
            <w:vAlign w:val="center"/>
          </w:tcPr>
          <w:p>
            <w:pPr>
              <w:spacing w:after="0" w:line="240" w:lineRule="auto"/>
            </w:pPr>
            <w:r/>
            <w:r>
              <w:rPr>
                <w:rFonts w:ascii="Times New Roman" w:hAnsi="Times New Roman" w:eastAsia="Times New Roman"/>
                <w:b w:val="0"/>
                <w:sz w:val="14"/>
              </w:rPr>
              <w:t>Tổng quan blockchain trong food traceability</w:t>
            </w:r>
          </w:p>
        </w:tc>
        <w:tc>
          <w:tcPr>
            <w:tcW w:type="dxa" w:w="1680"/>
            <w:vAlign w:val="center"/>
          </w:tcPr>
          <w:p>
            <w:pPr>
              <w:spacing w:after="0" w:line="240" w:lineRule="auto"/>
            </w:pPr>
            <w:r/>
            <w:r>
              <w:rPr>
                <w:rFonts w:ascii="Times New Roman" w:hAnsi="Times New Roman" w:eastAsia="Times New Roman"/>
                <w:b w:val="0"/>
                <w:sz w:val="14"/>
              </w:rPr>
              <w:t>Systematic literature review</w:t>
            </w:r>
          </w:p>
        </w:tc>
        <w:tc>
          <w:tcPr>
            <w:tcW w:type="dxa" w:w="1680"/>
            <w:vAlign w:val="center"/>
          </w:tcPr>
          <w:p>
            <w:pPr>
              <w:spacing w:after="0" w:line="240" w:lineRule="auto"/>
            </w:pPr>
            <w:r/>
            <w:r>
              <w:rPr>
                <w:rFonts w:ascii="Times New Roman" w:hAnsi="Times New Roman" w:eastAsia="Times New Roman"/>
                <w:b w:val="0"/>
                <w:sz w:val="14"/>
              </w:rPr>
              <w:t>Hệ thống hóa lợi ích, mô hình triển khai và thách thức</w:t>
            </w:r>
          </w:p>
        </w:tc>
        <w:tc>
          <w:tcPr>
            <w:tcW w:type="dxa" w:w="1680"/>
            <w:vAlign w:val="center"/>
          </w:tcPr>
          <w:p>
            <w:pPr>
              <w:spacing w:after="0" w:line="240" w:lineRule="auto"/>
            </w:pPr>
            <w:r/>
            <w:r>
              <w:rPr>
                <w:rFonts w:ascii="Times New Roman" w:hAnsi="Times New Roman" w:eastAsia="Times New Roman"/>
                <w:b w:val="0"/>
                <w:sz w:val="14"/>
              </w:rPr>
              <w:t>Các nghiên cứu tổng quan cho thấy blockchain không thay thế yêu cầu kiểm soát dữ liệu đầu vào</w:t>
            </w:r>
          </w:p>
        </w:tc>
        <w:tc>
          <w:tcPr>
            <w:tcW w:type="dxa" w:w="1680"/>
            <w:vAlign w:val="center"/>
          </w:tcPr>
          <w:p>
            <w:pPr>
              <w:spacing w:after="0" w:line="240" w:lineRule="auto"/>
            </w:pPr>
            <w:r/>
            <w:r>
              <w:rPr>
                <w:rFonts w:ascii="Times New Roman" w:hAnsi="Times New Roman" w:eastAsia="Times New Roman"/>
                <w:b w:val="0"/>
                <w:sz w:val="14"/>
              </w:rPr>
              <w:t>Hỗ trợ định vị blockchain là lớp bằng chứng, không phải cơ chế tự xác thực dữ liệu</w:t>
            </w:r>
          </w:p>
        </w:tc>
      </w:tr>
      <w:tr>
        <w:tc>
          <w:tcPr>
            <w:tcW w:type="dxa" w:w="1680"/>
            <w:vAlign w:val="center"/>
          </w:tcPr>
          <w:p>
            <w:pPr>
              <w:spacing w:after="0" w:line="240" w:lineRule="auto"/>
            </w:pPr>
            <w:r/>
            <w:r>
              <w:rPr>
                <w:rFonts w:ascii="Times New Roman" w:hAnsi="Times New Roman" w:eastAsia="Times New Roman"/>
                <w:b w:val="0"/>
                <w:sz w:val="14"/>
              </w:rPr>
              <w:t>GS1 EPCIS/CBV [1]</w:t>
            </w:r>
          </w:p>
        </w:tc>
        <w:tc>
          <w:tcPr>
            <w:tcW w:type="dxa" w:w="1680"/>
            <w:vAlign w:val="center"/>
          </w:tcPr>
          <w:p>
            <w:pPr>
              <w:spacing w:after="0" w:line="240" w:lineRule="auto"/>
            </w:pPr>
            <w:r/>
            <w:r>
              <w:rPr>
                <w:rFonts w:ascii="Times New Roman" w:hAnsi="Times New Roman" w:eastAsia="Times New Roman"/>
                <w:b w:val="0"/>
                <w:sz w:val="14"/>
              </w:rPr>
              <w:t>Liên thông dữ liệu visibility</w:t>
            </w:r>
          </w:p>
        </w:tc>
        <w:tc>
          <w:tcPr>
            <w:tcW w:type="dxa" w:w="1680"/>
            <w:vAlign w:val="center"/>
          </w:tcPr>
          <w:p>
            <w:pPr>
              <w:spacing w:after="0" w:line="240" w:lineRule="auto"/>
            </w:pPr>
            <w:r/>
            <w:r>
              <w:rPr>
                <w:rFonts w:ascii="Times New Roman" w:hAnsi="Times New Roman" w:eastAsia="Times New Roman"/>
                <w:b w:val="0"/>
                <w:sz w:val="14"/>
              </w:rPr>
              <w:t>Event-based data standard, JSON/JSON-LD, schema và vocabulary</w:t>
            </w:r>
          </w:p>
        </w:tc>
        <w:tc>
          <w:tcPr>
            <w:tcW w:type="dxa" w:w="1680"/>
            <w:vAlign w:val="center"/>
          </w:tcPr>
          <w:p>
            <w:pPr>
              <w:spacing w:after="0" w:line="240" w:lineRule="auto"/>
            </w:pPr>
            <w:r/>
            <w:r>
              <w:rPr>
                <w:rFonts w:ascii="Times New Roman" w:hAnsi="Times New Roman" w:eastAsia="Times New Roman"/>
                <w:b w:val="0"/>
                <w:sz w:val="14"/>
              </w:rPr>
              <w:t>Chuẩn hóa biểu diễn sự kiện và chia sẻ dữ liệu đa tác nhân</w:t>
            </w:r>
          </w:p>
        </w:tc>
        <w:tc>
          <w:tcPr>
            <w:tcW w:type="dxa" w:w="1680"/>
            <w:vAlign w:val="center"/>
          </w:tcPr>
          <w:p>
            <w:pPr>
              <w:spacing w:after="0" w:line="240" w:lineRule="auto"/>
            </w:pPr>
            <w:r/>
            <w:r>
              <w:rPr>
                <w:rFonts w:ascii="Times New Roman" w:hAnsi="Times New Roman" w:eastAsia="Times New Roman"/>
                <w:b w:val="0"/>
                <w:sz w:val="14"/>
              </w:rPr>
              <w:t>Chuẩn dữ liệu không tự cung cấp luật phát hiện sai lệch nghiệp vụ hoặc nguồn gốc</w:t>
            </w:r>
          </w:p>
        </w:tc>
        <w:tc>
          <w:tcPr>
            <w:tcW w:type="dxa" w:w="1680"/>
            <w:vAlign w:val="center"/>
          </w:tcPr>
          <w:p>
            <w:pPr>
              <w:spacing w:after="0" w:line="240" w:lineRule="auto"/>
            </w:pPr>
            <w:r/>
            <w:r>
              <w:rPr>
                <w:rFonts w:ascii="Times New Roman" w:hAnsi="Times New Roman" w:eastAsia="Times New Roman"/>
                <w:b w:val="0"/>
                <w:sz w:val="14"/>
              </w:rPr>
              <w:t>Là nền tảng mô hình hóa harvest, aggregation, transfer, transformation và shipment</w:t>
            </w:r>
          </w:p>
        </w:tc>
      </w:tr>
      <w:tr>
        <w:tc>
          <w:tcPr>
            <w:tcW w:type="dxa" w:w="1680"/>
            <w:vAlign w:val="center"/>
          </w:tcPr>
          <w:p>
            <w:pPr>
              <w:spacing w:after="0" w:line="240" w:lineRule="auto"/>
            </w:pPr>
            <w:r/>
            <w:r>
              <w:rPr>
                <w:rFonts w:ascii="Times New Roman" w:hAnsi="Times New Roman" w:eastAsia="Times New Roman"/>
                <w:b w:val="0"/>
                <w:sz w:val="14"/>
              </w:rPr>
              <w:t>Ahn và cộng sự - Oliot EPCIS [2]</w:t>
            </w:r>
          </w:p>
        </w:tc>
        <w:tc>
          <w:tcPr>
            <w:tcW w:type="dxa" w:w="1680"/>
            <w:vAlign w:val="center"/>
          </w:tcPr>
          <w:p>
            <w:pPr>
              <w:spacing w:after="0" w:line="240" w:lineRule="auto"/>
            </w:pPr>
            <w:r/>
            <w:r>
              <w:rPr>
                <w:rFonts w:ascii="Times New Roman" w:hAnsi="Times New Roman" w:eastAsia="Times New Roman"/>
                <w:b w:val="0"/>
                <w:sz w:val="14"/>
              </w:rPr>
              <w:t>Hệ thống EPCIS phục vụ minh bạch chuỗi cung ứng</w:t>
            </w:r>
          </w:p>
        </w:tc>
        <w:tc>
          <w:tcPr>
            <w:tcW w:type="dxa" w:w="1680"/>
            <w:vAlign w:val="center"/>
          </w:tcPr>
          <w:p>
            <w:pPr>
              <w:spacing w:after="0" w:line="240" w:lineRule="auto"/>
            </w:pPr>
            <w:r/>
            <w:r>
              <w:rPr>
                <w:rFonts w:ascii="Times New Roman" w:hAnsi="Times New Roman" w:eastAsia="Times New Roman"/>
                <w:b w:val="0"/>
                <w:sz w:val="14"/>
              </w:rPr>
              <w:t>Open-source EPCIS 2.0 system</w:t>
            </w:r>
          </w:p>
        </w:tc>
        <w:tc>
          <w:tcPr>
            <w:tcW w:type="dxa" w:w="1680"/>
            <w:vAlign w:val="center"/>
          </w:tcPr>
          <w:p>
            <w:pPr>
              <w:spacing w:after="0" w:line="240" w:lineRule="auto"/>
            </w:pPr>
            <w:r/>
            <w:r>
              <w:rPr>
                <w:rFonts w:ascii="Times New Roman" w:hAnsi="Times New Roman" w:eastAsia="Times New Roman"/>
                <w:b w:val="0"/>
                <w:sz w:val="14"/>
              </w:rPr>
              <w:t>Minh chứng khả năng triển khai hạ tầng EPCIS</w:t>
            </w:r>
          </w:p>
        </w:tc>
        <w:tc>
          <w:tcPr>
            <w:tcW w:type="dxa" w:w="1680"/>
            <w:vAlign w:val="center"/>
          </w:tcPr>
          <w:p>
            <w:pPr>
              <w:spacing w:after="0" w:line="240" w:lineRule="auto"/>
            </w:pPr>
            <w:r/>
            <w:r>
              <w:rPr>
                <w:rFonts w:ascii="Times New Roman" w:hAnsi="Times New Roman" w:eastAsia="Times New Roman"/>
                <w:b w:val="0"/>
                <w:sz w:val="14"/>
              </w:rPr>
              <w:t>Không mặc nhiên bao hàm kiểm tra vùng trồng, capacity hoặc mass balance theo use case nông nghiệp</w:t>
            </w:r>
          </w:p>
        </w:tc>
        <w:tc>
          <w:tcPr>
            <w:tcW w:type="dxa" w:w="1680"/>
            <w:vAlign w:val="center"/>
          </w:tcPr>
          <w:p>
            <w:pPr>
              <w:spacing w:after="0" w:line="240" w:lineRule="auto"/>
            </w:pPr>
            <w:r/>
            <w:r>
              <w:rPr>
                <w:rFonts w:ascii="Times New Roman" w:hAnsi="Times New Roman" w:eastAsia="Times New Roman"/>
                <w:b w:val="0"/>
                <w:sz w:val="14"/>
              </w:rPr>
              <w:t>Tham khảo cho event store và kiểm tra profile EPCIS</w:t>
            </w:r>
          </w:p>
        </w:tc>
      </w:tr>
      <w:tr>
        <w:tc>
          <w:tcPr>
            <w:tcW w:type="dxa" w:w="1680"/>
            <w:vAlign w:val="center"/>
          </w:tcPr>
          <w:p>
            <w:pPr>
              <w:spacing w:after="0" w:line="240" w:lineRule="auto"/>
            </w:pPr>
            <w:r/>
            <w:r>
              <w:rPr>
                <w:rFonts w:ascii="Times New Roman" w:hAnsi="Times New Roman" w:eastAsia="Times New Roman"/>
                <w:b w:val="0"/>
                <w:sz w:val="14"/>
              </w:rPr>
              <w:t>Nhóm nghiên cứu IoT/QR traceability</w:t>
            </w:r>
          </w:p>
        </w:tc>
        <w:tc>
          <w:tcPr>
            <w:tcW w:type="dxa" w:w="1680"/>
            <w:vAlign w:val="center"/>
          </w:tcPr>
          <w:p>
            <w:pPr>
              <w:spacing w:after="0" w:line="240" w:lineRule="auto"/>
            </w:pPr>
            <w:r/>
            <w:r>
              <w:rPr>
                <w:rFonts w:ascii="Times New Roman" w:hAnsi="Times New Roman" w:eastAsia="Times New Roman"/>
                <w:b w:val="0"/>
                <w:sz w:val="14"/>
              </w:rPr>
              <w:t>Thu thập và hiển thị dữ liệu nguồn gốc</w:t>
            </w:r>
          </w:p>
        </w:tc>
        <w:tc>
          <w:tcPr>
            <w:tcW w:type="dxa" w:w="1680"/>
            <w:vAlign w:val="center"/>
          </w:tcPr>
          <w:p>
            <w:pPr>
              <w:spacing w:after="0" w:line="240" w:lineRule="auto"/>
            </w:pPr>
            <w:r/>
            <w:r>
              <w:rPr>
                <w:rFonts w:ascii="Times New Roman" w:hAnsi="Times New Roman" w:eastAsia="Times New Roman"/>
                <w:b w:val="0"/>
                <w:sz w:val="14"/>
              </w:rPr>
              <w:t>Cảm biến, GPS, QR, ứng dụng di động</w:t>
            </w:r>
          </w:p>
        </w:tc>
        <w:tc>
          <w:tcPr>
            <w:tcW w:type="dxa" w:w="1680"/>
            <w:vAlign w:val="center"/>
          </w:tcPr>
          <w:p>
            <w:pPr>
              <w:spacing w:after="0" w:line="240" w:lineRule="auto"/>
            </w:pPr>
            <w:r/>
            <w:r>
              <w:rPr>
                <w:rFonts w:ascii="Times New Roman" w:hAnsi="Times New Roman" w:eastAsia="Times New Roman"/>
                <w:b w:val="0"/>
                <w:sz w:val="14"/>
              </w:rPr>
              <w:t>Hỗ trợ thu thập dữ liệu hiện trường và truy cập thông tin lô hàng</w:t>
            </w:r>
          </w:p>
        </w:tc>
        <w:tc>
          <w:tcPr>
            <w:tcW w:type="dxa" w:w="1680"/>
            <w:vAlign w:val="center"/>
          </w:tcPr>
          <w:p>
            <w:pPr>
              <w:spacing w:after="0" w:line="240" w:lineRule="auto"/>
            </w:pPr>
            <w:r/>
            <w:r>
              <w:rPr>
                <w:rFonts w:ascii="Times New Roman" w:hAnsi="Times New Roman" w:eastAsia="Times New Roman"/>
                <w:b w:val="0"/>
                <w:sz w:val="14"/>
              </w:rPr>
              <w:t>Dữ liệu cảm biến/QR vẫn cần kiểm tra tính hợp lý, quyền chủ thể và liên kết xuyên chuỗi</w:t>
            </w:r>
          </w:p>
        </w:tc>
        <w:tc>
          <w:tcPr>
            <w:tcW w:type="dxa" w:w="1680"/>
            <w:vAlign w:val="center"/>
          </w:tcPr>
          <w:p>
            <w:pPr>
              <w:spacing w:after="0" w:line="240" w:lineRule="auto"/>
            </w:pPr>
            <w:r/>
            <w:r>
              <w:rPr>
                <w:rFonts w:ascii="Times New Roman" w:hAnsi="Times New Roman" w:eastAsia="Times New Roman"/>
                <w:b w:val="0"/>
                <w:sz w:val="14"/>
              </w:rPr>
              <w:t>Zalo Mini App và QR/Digital Link đóng vai trò data capture và verification access</w:t>
            </w:r>
          </w:p>
        </w:tc>
      </w:tr>
      <w:tr>
        <w:tc>
          <w:tcPr>
            <w:tcW w:type="dxa" w:w="1680"/>
            <w:vAlign w:val="center"/>
          </w:tcPr>
          <w:p>
            <w:pPr>
              <w:spacing w:after="0" w:line="240" w:lineRule="auto"/>
            </w:pPr>
            <w:r/>
            <w:r>
              <w:rPr>
                <w:rFonts w:ascii="Times New Roman" w:hAnsi="Times New Roman" w:eastAsia="Times New Roman"/>
                <w:b w:val="0"/>
                <w:sz w:val="14"/>
              </w:rPr>
              <w:t>Nhóm spatial/geofencing validation</w:t>
            </w:r>
          </w:p>
        </w:tc>
        <w:tc>
          <w:tcPr>
            <w:tcW w:type="dxa" w:w="1680"/>
            <w:vAlign w:val="center"/>
          </w:tcPr>
          <w:p>
            <w:pPr>
              <w:spacing w:after="0" w:line="240" w:lineRule="auto"/>
            </w:pPr>
            <w:r/>
            <w:r>
              <w:rPr>
                <w:rFonts w:ascii="Times New Roman" w:hAnsi="Times New Roman" w:eastAsia="Times New Roman"/>
                <w:b w:val="0"/>
                <w:sz w:val="14"/>
              </w:rPr>
              <w:t>Kiểm tra sự phù hợp giữa sự kiện và không gian khai báo</w:t>
            </w:r>
          </w:p>
        </w:tc>
        <w:tc>
          <w:tcPr>
            <w:tcW w:type="dxa" w:w="1680"/>
            <w:vAlign w:val="center"/>
          </w:tcPr>
          <w:p>
            <w:pPr>
              <w:spacing w:after="0" w:line="240" w:lineRule="auto"/>
            </w:pPr>
            <w:r/>
            <w:r>
              <w:rPr>
                <w:rFonts w:ascii="Times New Roman" w:hAnsi="Times New Roman" w:eastAsia="Times New Roman"/>
                <w:b w:val="0"/>
                <w:sz w:val="14"/>
              </w:rPr>
              <w:t>GIS, polygon, GPS, PostGIS</w:t>
            </w:r>
          </w:p>
        </w:tc>
        <w:tc>
          <w:tcPr>
            <w:tcW w:type="dxa" w:w="1680"/>
            <w:vAlign w:val="center"/>
          </w:tcPr>
          <w:p>
            <w:pPr>
              <w:spacing w:after="0" w:line="240" w:lineRule="auto"/>
            </w:pPr>
            <w:r/>
            <w:r>
              <w:rPr>
                <w:rFonts w:ascii="Times New Roman" w:hAnsi="Times New Roman" w:eastAsia="Times New Roman"/>
                <w:b w:val="0"/>
                <w:sz w:val="14"/>
              </w:rPr>
              <w:t>Hỗ trợ phát hiện sự kiện ngoài vùng theo chính sách không gian</w:t>
            </w:r>
          </w:p>
        </w:tc>
        <w:tc>
          <w:tcPr>
            <w:tcW w:type="dxa" w:w="1680"/>
            <w:vAlign w:val="center"/>
          </w:tcPr>
          <w:p>
            <w:pPr>
              <w:spacing w:after="0" w:line="240" w:lineRule="auto"/>
            </w:pPr>
            <w:r/>
            <w:r>
              <w:rPr>
                <w:rFonts w:ascii="Times New Roman" w:hAnsi="Times New Roman" w:eastAsia="Times New Roman"/>
                <w:b w:val="0"/>
                <w:sz w:val="14"/>
              </w:rPr>
              <w:t>Geofence đơn lẻ không xử lý đầy đủ GPS spoof trong vùng, mã hết hạn, actor sai quyền hoặc vượt sản lượng</w:t>
            </w:r>
          </w:p>
        </w:tc>
        <w:tc>
          <w:tcPr>
            <w:tcW w:type="dxa" w:w="1680"/>
            <w:vAlign w:val="center"/>
          </w:tcPr>
          <w:p>
            <w:pPr>
              <w:spacing w:after="0" w:line="240" w:lineRule="auto"/>
            </w:pPr>
            <w:r/>
            <w:r>
              <w:rPr>
                <w:rFonts w:ascii="Times New Roman" w:hAnsi="Times New Roman" w:eastAsia="Times New Roman"/>
                <w:b w:val="0"/>
                <w:sz w:val="14"/>
              </w:rPr>
              <w:t>Rule G kết hợp rule I, S, T và ngữ cảnh registry độc lập</w:t>
            </w:r>
          </w:p>
        </w:tc>
      </w:tr>
      <w:tr>
        <w:tc>
          <w:tcPr>
            <w:tcW w:type="dxa" w:w="1680"/>
            <w:vAlign w:val="center"/>
          </w:tcPr>
          <w:p>
            <w:pPr>
              <w:spacing w:after="0" w:line="240" w:lineRule="auto"/>
            </w:pPr>
            <w:r/>
            <w:r>
              <w:rPr>
                <w:rFonts w:ascii="Times New Roman" w:hAnsi="Times New Roman" w:eastAsia="Times New Roman"/>
                <w:b w:val="0"/>
                <w:sz w:val="14"/>
              </w:rPr>
              <w:t>Nhóm mass-balance và Chain of Custody [7], [8]</w:t>
            </w:r>
          </w:p>
        </w:tc>
        <w:tc>
          <w:tcPr>
            <w:tcW w:type="dxa" w:w="1680"/>
            <w:vAlign w:val="center"/>
          </w:tcPr>
          <w:p>
            <w:pPr>
              <w:spacing w:after="0" w:line="240" w:lineRule="auto"/>
            </w:pPr>
            <w:r/>
            <w:r>
              <w:rPr>
                <w:rFonts w:ascii="Times New Roman" w:hAnsi="Times New Roman" w:eastAsia="Times New Roman"/>
                <w:b w:val="0"/>
                <w:sz w:val="14"/>
              </w:rPr>
              <w:t>Đối chiếu claim đầu vào - đầu ra</w:t>
            </w:r>
          </w:p>
        </w:tc>
        <w:tc>
          <w:tcPr>
            <w:tcW w:type="dxa" w:w="1680"/>
            <w:vAlign w:val="center"/>
          </w:tcPr>
          <w:p>
            <w:pPr>
              <w:spacing w:after="0" w:line="240" w:lineRule="auto"/>
            </w:pPr>
            <w:r/>
            <w:r>
              <w:rPr>
                <w:rFonts w:ascii="Times New Roman" w:hAnsi="Times New Roman" w:eastAsia="Times New Roman"/>
                <w:b w:val="0"/>
                <w:sz w:val="14"/>
              </w:rPr>
              <w:t>Mass balance, segregation, traceability controls</w:t>
            </w:r>
          </w:p>
        </w:tc>
        <w:tc>
          <w:tcPr>
            <w:tcW w:type="dxa" w:w="1680"/>
            <w:vAlign w:val="center"/>
          </w:tcPr>
          <w:p>
            <w:pPr>
              <w:spacing w:after="0" w:line="240" w:lineRule="auto"/>
            </w:pPr>
            <w:r/>
            <w:r>
              <w:rPr>
                <w:rFonts w:ascii="Times New Roman" w:hAnsi="Times New Roman" w:eastAsia="Times New Roman"/>
                <w:b w:val="0"/>
                <w:sz w:val="14"/>
              </w:rPr>
              <w:t>Đưa ràng buộc vật lý/nghiệp vụ vào kiểm tra chuỗi</w:t>
            </w:r>
          </w:p>
        </w:tc>
        <w:tc>
          <w:tcPr>
            <w:tcW w:type="dxa" w:w="1680"/>
            <w:vAlign w:val="center"/>
          </w:tcPr>
          <w:p>
            <w:pPr>
              <w:spacing w:after="0" w:line="240" w:lineRule="auto"/>
            </w:pPr>
            <w:r/>
            <w:r>
              <w:rPr>
                <w:rFonts w:ascii="Times New Roman" w:hAnsi="Times New Roman" w:eastAsia="Times New Roman"/>
                <w:b w:val="0"/>
                <w:sz w:val="14"/>
              </w:rPr>
              <w:t>Vi phạm có thể do nhiều nguyên nhân; cần tolerance, trạng thái tồn kho và bằng chứng giải thích</w:t>
            </w:r>
          </w:p>
        </w:tc>
        <w:tc>
          <w:tcPr>
            <w:tcW w:type="dxa" w:w="1680"/>
            <w:vAlign w:val="center"/>
          </w:tcPr>
          <w:p>
            <w:pPr>
              <w:spacing w:after="0" w:line="240" w:lineRule="auto"/>
            </w:pPr>
            <w:r/>
            <w:r>
              <w:rPr>
                <w:rFonts w:ascii="Times New Roman" w:hAnsi="Times New Roman" w:eastAsia="Times New Roman"/>
                <w:b w:val="0"/>
                <w:sz w:val="14"/>
              </w:rPr>
              <w:t>Rule M kiểm tra output claim so với verified input và tham số quy trình</w:t>
            </w:r>
          </w:p>
        </w:tc>
      </w:tr>
      <w:tr>
        <w:tc>
          <w:tcPr>
            <w:tcW w:type="dxa" w:w="1680"/>
            <w:vAlign w:val="center"/>
          </w:tcPr>
          <w:p>
            <w:pPr>
              <w:spacing w:after="0" w:line="240" w:lineRule="auto"/>
            </w:pPr>
            <w:r/>
            <w:r>
              <w:rPr>
                <w:rFonts w:ascii="Times New Roman" w:hAnsi="Times New Roman" w:eastAsia="Times New Roman"/>
                <w:b w:val="0"/>
                <w:sz w:val="14"/>
              </w:rPr>
              <w:t>Nhóm blockchain evidence anchoring</w:t>
            </w:r>
          </w:p>
        </w:tc>
        <w:tc>
          <w:tcPr>
            <w:tcW w:type="dxa" w:w="1680"/>
            <w:vAlign w:val="center"/>
          </w:tcPr>
          <w:p>
            <w:pPr>
              <w:spacing w:after="0" w:line="240" w:lineRule="auto"/>
            </w:pPr>
            <w:r/>
            <w:r>
              <w:rPr>
                <w:rFonts w:ascii="Times New Roman" w:hAnsi="Times New Roman" w:eastAsia="Times New Roman"/>
                <w:b w:val="0"/>
                <w:sz w:val="14"/>
              </w:rPr>
              <w:t>Phát hiện thay đổi dữ liệu sau commitment</w:t>
            </w:r>
          </w:p>
        </w:tc>
        <w:tc>
          <w:tcPr>
            <w:tcW w:type="dxa" w:w="1680"/>
            <w:vAlign w:val="center"/>
          </w:tcPr>
          <w:p>
            <w:pPr>
              <w:spacing w:after="0" w:line="240" w:lineRule="auto"/>
            </w:pPr>
            <w:r/>
            <w:r>
              <w:rPr>
                <w:rFonts w:ascii="Times New Roman" w:hAnsi="Times New Roman" w:eastAsia="Times New Roman"/>
                <w:b w:val="0"/>
                <w:sz w:val="14"/>
              </w:rPr>
              <w:t>Hash, Merkle tree, blockchain anchor</w:t>
            </w:r>
          </w:p>
        </w:tc>
        <w:tc>
          <w:tcPr>
            <w:tcW w:type="dxa" w:w="1680"/>
            <w:vAlign w:val="center"/>
          </w:tcPr>
          <w:p>
            <w:pPr>
              <w:spacing w:after="0" w:line="240" w:lineRule="auto"/>
            </w:pPr>
            <w:r/>
            <w:r>
              <w:rPr>
                <w:rFonts w:ascii="Times New Roman" w:hAnsi="Times New Roman" w:eastAsia="Times New Roman"/>
                <w:b w:val="0"/>
                <w:sz w:val="14"/>
              </w:rPr>
              <w:t>Tạo bằng chứng tamper-evident và hỗ trợ kiểm toán</w:t>
            </w:r>
          </w:p>
        </w:tc>
        <w:tc>
          <w:tcPr>
            <w:tcW w:type="dxa" w:w="1680"/>
            <w:vAlign w:val="center"/>
          </w:tcPr>
          <w:p>
            <w:pPr>
              <w:spacing w:after="0" w:line="240" w:lineRule="auto"/>
            </w:pPr>
            <w:r/>
            <w:r>
              <w:rPr>
                <w:rFonts w:ascii="Times New Roman" w:hAnsi="Times New Roman" w:eastAsia="Times New Roman"/>
                <w:b w:val="0"/>
                <w:sz w:val="14"/>
              </w:rPr>
              <w:t>Inclusion proof không tự chứng minh tính đầy đủ của batch hoặc tính đúng của dữ liệu gốc</w:t>
            </w:r>
          </w:p>
        </w:tc>
        <w:tc>
          <w:tcPr>
            <w:tcW w:type="dxa" w:w="1680"/>
            <w:vAlign w:val="center"/>
          </w:tcPr>
          <w:p>
            <w:pPr>
              <w:spacing w:after="0" w:line="240" w:lineRule="auto"/>
            </w:pPr>
            <w:r/>
            <w:r>
              <w:rPr>
                <w:rFonts w:ascii="Times New Roman" w:hAnsi="Times New Roman" w:eastAsia="Times New Roman"/>
                <w:b w:val="0"/>
                <w:sz w:val="14"/>
              </w:rPr>
              <w:t>Canonical envelope hash, Merkle root theo ngày và EVM anchor được dùng như lớp integrity</w:t>
            </w:r>
          </w:p>
        </w:tc>
      </w:tr>
      <w:tr>
        <w:tc>
          <w:tcPr>
            <w:tcW w:type="dxa" w:w="1680"/>
            <w:vAlign w:val="center"/>
          </w:tcPr>
          <w:p>
            <w:pPr>
              <w:spacing w:after="0" w:line="240" w:lineRule="auto"/>
            </w:pPr>
            <w:r/>
            <w:r>
              <w:rPr>
                <w:rFonts w:ascii="Times New Roman" w:hAnsi="Times New Roman" w:eastAsia="Times New Roman"/>
                <w:b w:val="0"/>
                <w:sz w:val="14"/>
              </w:rPr>
              <w:t>Nhóm GAP/compliance evidence management</w:t>
            </w:r>
          </w:p>
        </w:tc>
        <w:tc>
          <w:tcPr>
            <w:tcW w:type="dxa" w:w="1680"/>
            <w:vAlign w:val="center"/>
          </w:tcPr>
          <w:p>
            <w:pPr>
              <w:spacing w:after="0" w:line="240" w:lineRule="auto"/>
            </w:pPr>
            <w:r/>
            <w:r>
              <w:rPr>
                <w:rFonts w:ascii="Times New Roman" w:hAnsi="Times New Roman" w:eastAsia="Times New Roman"/>
                <w:b w:val="0"/>
                <w:sz w:val="14"/>
              </w:rPr>
              <w:t>Tổ chức hồ sơ phục vụ đánh giá tuân thủ</w:t>
            </w:r>
          </w:p>
        </w:tc>
        <w:tc>
          <w:tcPr>
            <w:tcW w:type="dxa" w:w="1680"/>
            <w:vAlign w:val="center"/>
          </w:tcPr>
          <w:p>
            <w:pPr>
              <w:spacing w:after="0" w:line="240" w:lineRule="auto"/>
            </w:pPr>
            <w:r/>
            <w:r>
              <w:rPr>
                <w:rFonts w:ascii="Times New Roman" w:hAnsi="Times New Roman" w:eastAsia="Times New Roman"/>
                <w:b w:val="0"/>
                <w:sz w:val="14"/>
              </w:rPr>
              <w:t>Document/evidence management, workflow</w:t>
            </w:r>
          </w:p>
        </w:tc>
        <w:tc>
          <w:tcPr>
            <w:tcW w:type="dxa" w:w="1680"/>
            <w:vAlign w:val="center"/>
          </w:tcPr>
          <w:p>
            <w:pPr>
              <w:spacing w:after="0" w:line="240" w:lineRule="auto"/>
            </w:pPr>
            <w:r/>
            <w:r>
              <w:rPr>
                <w:rFonts w:ascii="Times New Roman" w:hAnsi="Times New Roman" w:eastAsia="Times New Roman"/>
                <w:b w:val="0"/>
                <w:sz w:val="14"/>
              </w:rPr>
              <w:t>Hỗ trợ tập hợp và tra cứu hồ sơ</w:t>
            </w:r>
          </w:p>
        </w:tc>
        <w:tc>
          <w:tcPr>
            <w:tcW w:type="dxa" w:w="1680"/>
            <w:vAlign w:val="center"/>
          </w:tcPr>
          <w:p>
            <w:pPr>
              <w:spacing w:after="0" w:line="240" w:lineRule="auto"/>
            </w:pPr>
            <w:r/>
            <w:r>
              <w:rPr>
                <w:rFonts w:ascii="Times New Roman" w:hAnsi="Times New Roman" w:eastAsia="Times New Roman"/>
                <w:b w:val="0"/>
                <w:sz w:val="14"/>
              </w:rPr>
              <w:t>Không thay thế kiểm toán viên hoặc tổ chức chứng nhận</w:t>
            </w:r>
          </w:p>
        </w:tc>
        <w:tc>
          <w:tcPr>
            <w:tcW w:type="dxa" w:w="1680"/>
            <w:vAlign w:val="center"/>
          </w:tcPr>
          <w:p>
            <w:pPr>
              <w:spacing w:after="0" w:line="240" w:lineRule="auto"/>
            </w:pPr>
            <w:r/>
            <w:r>
              <w:rPr>
                <w:rFonts w:ascii="Times New Roman" w:hAnsi="Times New Roman" w:eastAsia="Times New Roman"/>
                <w:b w:val="0"/>
                <w:sz w:val="14"/>
              </w:rPr>
              <w:t>Evidence readiness hỗ trợ mapping hồ sơ, không cấp chứng nhận GAP</w:t>
            </w:r>
          </w:p>
        </w:tc>
      </w:tr>
    </w:tbl>
    <w:p>
      <w:pPr>
        <w:spacing w:after="60"/>
      </w:pPr>
    </w:p>
    <w:p>
      <w:pPr>
        <w:spacing w:line="307" w:lineRule="auto" w:after="120"/>
        <w:ind w:firstLine="403"/>
        <w:jc w:val="both"/>
      </w:pPr>
      <w:r>
        <w:rPr>
          <w:b w:val="0"/>
        </w:rPr>
        <w:t>Từ tổng quan trên có thể thấy các nhóm nghiên cứu bổ sung cho nhau: EPCIS giải quyết chuẩn hóa dữ liệu sự kiện; IoT, GPS và ứng dụng di động hỗ trợ thu thập dữ liệu; blockchain hỗ trợ bảo toàn cam kết; Chain of Custody và mass balance cung cấp các ràng buộc đối chiếu nghiệp vụ. Tuy nhiên, cần nghiên cứu cách tích hợp các thành phần này thành một luồng thống nhất trong đó dữ liệu vùng trồng, actor, thời gian, vị trí, khối lượng và chain-of-custody được kiểm tra trước khi bằng chứng được neo.</w:t>
      </w:r>
    </w:p>
    <w:p>
      <w:pPr>
        <w:spacing w:line="307" w:lineRule="auto" w:after="120"/>
        <w:ind w:firstLine="403"/>
        <w:jc w:val="both"/>
      </w:pPr>
      <w:r>
        <w:rPr>
          <w:b w:val="0"/>
        </w:rPr>
        <w:t>BATS-AgriGuard kế thừa các nền tảng đó để nghiên cứu lớp Plantation Code Integrity: mã số vùng trồng được xem như một thực thể số có polygon, diện tích, cây trồng, chủ thể được ủy quyền, trạng thái hiệu lực và lịch sử sự kiện; các event EPCIS được kiểm tra theo quy tắc không gian-thời gian, năng suất, mass balance và custody. Khoảng trống này dẫn tới yêu cầu xây dựng hệ thống và thực nghiệm đánh giá khả năng phát hiện các kịch bản bất thường đã xác định, thay vì đưa ra khẳng định về tính chính xác ngoài thực địa khi chưa có dữ liệu và nhãn độc lập.</w:t>
      </w:r>
    </w:p>
    <w:p>
      <w:pPr>
        <w:spacing w:line="307" w:lineRule="auto" w:after="120"/>
        <w:ind w:firstLine="403"/>
        <w:jc w:val="both"/>
      </w:pPr>
      <w:r>
        <w:rPr>
          <w:b w:val="0"/>
        </w:rPr>
        <w:t>Tài liệu tham khảo chính của phần tổng quan:</w:t>
      </w:r>
    </w:p>
    <w:p>
      <w:pPr>
        <w:spacing w:line="307" w:lineRule="auto" w:after="120"/>
        <w:ind w:firstLine="403"/>
        <w:jc w:val="both"/>
      </w:pPr>
      <w:r>
        <w:rPr>
          <w:b w:val="0"/>
        </w:rPr>
        <w:t>[1] GS1, *EPCIS and Core Business Vocabulary (CBV) Standards*, EPCIS 2.0.x normative artefacts.</w:t>
      </w:r>
    </w:p>
    <w:p>
      <w:pPr>
        <w:spacing w:line="307" w:lineRule="auto" w:after="120"/>
        <w:ind w:firstLine="403"/>
        <w:jc w:val="both"/>
      </w:pPr>
      <w:r>
        <w:rPr>
          <w:b w:val="0"/>
        </w:rPr>
        <w:t>[2] J. Ahn, H. Gaza, J. Lee, H. Kim, J. Byun, “Oliot EPCIS: An open-source EPCIS 2.0 system for supply chain transparency”, *SoftwareX*, 23, 101477, 2023.</w:t>
      </w:r>
    </w:p>
    <w:p>
      <w:pPr>
        <w:spacing w:line="307" w:lineRule="auto" w:after="120"/>
        <w:ind w:firstLine="403"/>
        <w:jc w:val="both"/>
      </w:pPr>
      <w:r>
        <w:rPr>
          <w:b w:val="0"/>
        </w:rPr>
        <w:t>[3] M. P. Caro, M. S. Ali, M. Vecchio, R. Giaffreda, “Blockchain-based traceability in agri-food supply chain management: A practical implementation”, IEEE IoT Tuscany, 2018.</w:t>
      </w:r>
    </w:p>
    <w:p>
      <w:pPr>
        <w:spacing w:line="307" w:lineRule="auto" w:after="120"/>
        <w:ind w:firstLine="403"/>
        <w:jc w:val="both"/>
      </w:pPr>
      <w:r>
        <w:rPr>
          <w:b w:val="0"/>
        </w:rPr>
        <w:t>[4] A. Ahmad, K. Bailey, “Blockchain in food traceability: A systematic literature review”, ISSC, 2021.</w:t>
      </w:r>
    </w:p>
    <w:p>
      <w:pPr>
        <w:spacing w:line="307" w:lineRule="auto" w:after="120"/>
        <w:ind w:firstLine="403"/>
        <w:jc w:val="both"/>
      </w:pPr>
      <w:r>
        <w:rPr>
          <w:b w:val="0"/>
        </w:rPr>
        <w:t>[5] R. M. Ellahi, L. C. Wood, A. E. D. A. Bekhit, “Blockchain-based frameworks for food traceability: A systematic review”, *Foods*, 12(16), 3026, 2023.</w:t>
      </w:r>
    </w:p>
    <w:p>
      <w:pPr>
        <w:spacing w:line="307" w:lineRule="auto" w:after="120"/>
        <w:ind w:firstLine="403"/>
        <w:jc w:val="both"/>
      </w:pPr>
      <w:r>
        <w:rPr>
          <w:b w:val="0"/>
        </w:rPr>
        <w:t>[6] A. Albizri, D. Appelbaum, “Trust but Verify: The Oracle Paradox of Blockchain Smart Contracts”, *Journal of Information Systems*, 35(2), 2021.</w:t>
      </w:r>
    </w:p>
    <w:p>
      <w:pPr>
        <w:spacing w:line="307" w:lineRule="auto" w:after="120"/>
        <w:ind w:firstLine="403"/>
        <w:jc w:val="both"/>
      </w:pPr>
      <w:r>
        <w:rPr>
          <w:b w:val="0"/>
        </w:rPr>
        <w:t>[7] GLOBALG.A.P., *Chain of Custody (CoC)*.</w:t>
      </w:r>
    </w:p>
    <w:p>
      <w:pPr>
        <w:spacing w:line="307" w:lineRule="auto" w:after="120"/>
        <w:ind w:firstLine="403"/>
        <w:jc w:val="both"/>
      </w:pPr>
      <w:r>
        <w:rPr>
          <w:b w:val="0"/>
        </w:rPr>
        <w:t>[8] GLOBALG.A.P., *Supply Chain Traceability*.</w:t>
      </w:r>
    </w:p>
    <w:p>
      <w:pPr>
        <w:pStyle w:val="Heading1"/>
      </w:pPr>
      <w:r>
        <w:t>3. MỤC TIÊU - PHƯƠNG PHÁP</w:t>
      </w:r>
    </w:p>
    <w:p>
      <w:pPr>
        <w:pStyle w:val="Heading2"/>
      </w:pPr>
      <w:r>
        <w:t>3.1. Mục tiêu tổng quát</w:t>
      </w:r>
    </w:p>
    <w:p>
      <w:pPr>
        <w:spacing w:line="307" w:lineRule="auto" w:after="120"/>
        <w:ind w:firstLine="403"/>
        <w:jc w:val="both"/>
      </w:pPr>
      <w:r>
        <w:rPr>
          <w:b w:val="0"/>
        </w:rPr>
        <w:t>Nghiên cứu và xây dựng một hệ thống truy xuất nguồn gốc nông sản theo hướng chuẩn hóa dữ liệu sự kiện, kết hợp cơ chế kiểm tra tính nhất quán của thông tin vùng trồng và chuỗi cung ứng với cơ chế neo bằng chứng blockchain, nhằm hỗ trợ quản lý nguồn gốc, phát hiện các trường hợp bất thường hoặc lạm dụng mã số vùng trồng và tăng khả năng kiểm toán dữ liệu trong chuỗi cung ứng nông sản.</w:t>
      </w:r>
    </w:p>
    <w:p>
      <w:pPr>
        <w:pStyle w:val="Heading2"/>
      </w:pPr>
      <w:r>
        <w:t>3.2. Mục tiêu cụ thể</w:t>
      </w:r>
    </w:p>
    <w:p>
      <w:pPr>
        <w:pStyle w:val="ListNumber"/>
        <w:spacing w:after="40"/>
      </w:pPr>
      <w:r>
        <w:t>Xây dựng mô hình dữ liệu truy xuất nguồn gốc theo GS1 EPCIS cho chuỗi nông sản thí điểm, bao gồm các sự kiện thu hoạch, gom hàng, chuyển giao, đóng gói, biến đổi và xuất hàng phù hợp với ngữ cảnh nghiệp vụ.</w:t>
      </w:r>
    </w:p>
    <w:p>
      <w:pPr>
        <w:pStyle w:val="ListNumber"/>
        <w:spacing w:after="40"/>
      </w:pPr>
      <w:r>
        <w:t>Xây dựng mô hình Digital Plantation Identity cho mã số vùng trồng, gồm mã vùng, polygon địa lý, diện tích, cây trồng hoặc giống, chủ thể được ủy quyền, trạng thái hiệu lực, khoảng thời gian áp dụng và các liên kết cần thiết với cơ sở đóng gói hoặc hồ sơ bằng chứng.</w:t>
      </w:r>
    </w:p>
    <w:p>
      <w:pPr>
        <w:pStyle w:val="ListNumber"/>
        <w:spacing w:after="40"/>
      </w:pPr>
      <w:r>
        <w:t>Xây dựng quy trình thu thập dữ liệu từ nông dân, hợp tác xã, đơn vị thu gom, cơ sở đóng gói, nhà máy và doanh nghiệp tiêu thụ/xuất khẩu; dữ liệu bao gồm định danh lô, vị trí, thời gian, khối lượng, vai trò chủ thể, QR/Digital Link và bằng chứng hiện trường.</w:t>
      </w:r>
    </w:p>
    <w:p>
      <w:pPr>
        <w:pStyle w:val="ListNumber"/>
        <w:spacing w:after="40"/>
      </w:pPr>
      <w:r>
        <w:t>Xây dựng Plantation Code Integrity Engine với các nhóm kiểm tra: vị trí, actor/role, trạng thái mã vùng trồng, năng suất theo mùa vụ, tái sử dụng bằng chứng, bất thường không gian-thời gian, cân bằng khối lượng và tính hợp lệ của chain-of-custody.</w:t>
      </w:r>
    </w:p>
    <w:p>
      <w:pPr>
        <w:pStyle w:val="ListNumber"/>
        <w:spacing w:after="40"/>
      </w:pPr>
      <w:r>
        <w:t>Xây dựng cơ chế phát hiện và giải thích các trường hợp bất thường liên quan đến lạm dụng mã số vùng trồng, như sự kiện ngoài polygon, chủ thể không được ủy quyền, mã không còn hiệu lực, sản lượng vượt ngưỡng tham số hóa, đầu ra vượt đầu vào có provenance hợp lệ hoặc chuyển trạng thái custody không hợp lệ.</w:t>
      </w:r>
    </w:p>
    <w:p>
      <w:pPr>
        <w:pStyle w:val="ListNumber"/>
        <w:spacing w:after="40"/>
      </w:pPr>
      <w:r>
        <w:t>Xây dựng cơ chế canonical hashing, Merkle batching và blockchain evidence anchoring cho dữ liệu sự kiện đã qua validation; hỗ trợ kiểm tra thay đổi dữ liệu sau commitment thông qua tái tính hash và xác minh Merkle proof.</w:t>
      </w:r>
    </w:p>
    <w:p>
      <w:pPr>
        <w:pStyle w:val="ListNumber"/>
        <w:spacing w:after="40"/>
      </w:pPr>
      <w:r>
        <w:t>Xây dựng giao diện truy xuất và kiểm tra phù hợp với vai trò người dùng, cho phép tra cứu batch, lịch sử sự kiện, trạng thái validation, mass-balance summary, bằng chứng liên quan và trạng thái blockchain anchor.</w:t>
      </w:r>
    </w:p>
    <w:p>
      <w:pPr>
        <w:pStyle w:val="Heading2"/>
      </w:pPr>
      <w:r>
        <w:t>3.3. Đối tượng và phạm vi nghiên cứu</w:t>
      </w:r>
    </w:p>
    <w:p>
      <w:pPr>
        <w:spacing w:line="307" w:lineRule="auto" w:after="120"/>
        <w:ind w:firstLine="403"/>
        <w:jc w:val="both"/>
      </w:pPr>
      <w:r>
        <w:rPr>
          <w:b w:val="0"/>
        </w:rPr>
      </w:r>
      <w:r>
        <w:rPr>
          <w:b/>
        </w:rPr>
        <w:t>Đối tượng nghiên cứu</w:t>
      </w:r>
      <w:r>
        <w:rPr>
          <w:b w:val="0"/>
        </w:rPr>
        <w:t xml:space="preserve"> là dữ liệu truy xuất nguồn gốc nông sản, mối quan hệ giữa mã số vùng trồng và sự kiện chuỗi cung ứng, các quy tắc kiểm tra tính nhất quán dữ liệu, cùng cơ chế bảo toàn bằng chứng mật mã sau thời điểm cam kết.</w:t>
      </w:r>
    </w:p>
    <w:p>
      <w:pPr>
        <w:spacing w:line="307" w:lineRule="auto" w:after="120"/>
        <w:ind w:firstLine="403"/>
        <w:jc w:val="both"/>
      </w:pPr>
      <w:r>
        <w:rPr>
          <w:b w:val="0"/>
        </w:rPr>
      </w:r>
      <w:r>
        <w:rPr>
          <w:b/>
        </w:rPr>
        <w:t>Phạm vi chuỗi cung ứng</w:t>
      </w:r>
      <w:r>
        <w:rPr>
          <w:b w:val="0"/>
        </w:rPr>
        <w:t xml:space="preserve"> là chuỗi nông sản thí điểm từ vùng trồng đến doanh nghiệp mua hàng hoặc xuất khẩu. Nghiên cứu có thể ưu tiên một loại nông sản phù hợp với dữ liệu và kịch bản đánh giá, chẳng hạn sầu riêng, nhưng mô hình dữ liệu được thiết kế theo hướng có thể điều chỉnh cho các nông sản khác.</w:t>
      </w:r>
    </w:p>
    <w:p>
      <w:pPr>
        <w:spacing w:line="307" w:lineRule="auto" w:after="120"/>
        <w:ind w:firstLine="403"/>
        <w:jc w:val="both"/>
      </w:pPr>
      <w:r>
        <w:rPr>
          <w:b w:val="0"/>
        </w:rPr>
      </w:r>
      <w:r>
        <w:rPr>
          <w:b/>
        </w:rPr>
        <w:t>Các tác nhân nghiên cứu</w:t>
      </w:r>
      <w:r>
        <w:rPr>
          <w:b w:val="0"/>
        </w:rPr>
        <w:t xml:space="preserve"> gồm nông dân, hợp tác xã hoặc quản trị vùng trồng, đơn vị thu gom/thương lái, cơ sở đóng gói, nhà máy xử lý khi có, doanh nghiệp mua hàng/xuất khẩu và người dùng tra cứu công khai ở mức thông tin được cho phép.</w:t>
      </w:r>
    </w:p>
    <w:p>
      <w:pPr>
        <w:spacing w:line="307" w:lineRule="auto" w:after="120"/>
        <w:ind w:firstLine="403"/>
        <w:jc w:val="both"/>
      </w:pPr>
      <w:r>
        <w:rPr>
          <w:b w:val="0"/>
        </w:rPr>
      </w:r>
      <w:r>
        <w:rPr>
          <w:b/>
        </w:rPr>
        <w:t>Loại dữ liệu</w:t>
      </w:r>
      <w:r>
        <w:rPr>
          <w:b w:val="0"/>
        </w:rPr>
        <w:t xml:space="preserve"> gồm thông tin vùng trồng, actor và quyền hạn, sự kiện EPCIS, batch/lot, cây trồng, GPS, timestamp, khối lượng, chứng từ hoặc ảnh bằng chứng, trạng thái validation, liên kết custody và hash bằng chứng. Bằng chứng nhị phân có thể được lưu ngoài chuỗi; hệ thống lưu hash, metadata và storage reference.</w:t>
      </w:r>
    </w:p>
    <w:p>
      <w:pPr>
        <w:spacing w:line="307" w:lineRule="auto" w:after="120"/>
        <w:ind w:firstLine="403"/>
        <w:jc w:val="both"/>
      </w:pPr>
      <w:r>
        <w:rPr>
          <w:b w:val="0"/>
        </w:rPr>
      </w:r>
      <w:r>
        <w:rPr>
          <w:b/>
        </w:rPr>
        <w:t>Các sự kiện truy xuất</w:t>
      </w:r>
      <w:r>
        <w:rPr>
          <w:b w:val="0"/>
        </w:rPr>
        <w:t xml:space="preserve"> bao gồm tối thiểu: harvest/tạo batch, transfer hoặc giao nhận, aggregation khi gom/pallet hóa, transformation khi có biến đổi đầu vào - đầu ra, và shipment/dispatch. Loại EPCIS event cụ thể sẽ được lựa chọn theo đúng semantics của use case và kiểm tra bằng schema/profile đã công bố.</w:t>
      </w:r>
    </w:p>
    <w:p>
      <w:pPr>
        <w:spacing w:line="307" w:lineRule="auto" w:after="120"/>
        <w:ind w:firstLine="403"/>
        <w:jc w:val="both"/>
      </w:pPr>
      <w:r>
        <w:rPr>
          <w:b w:val="0"/>
        </w:rPr>
      </w:r>
      <w:r>
        <w:rPr>
          <w:b/>
        </w:rPr>
        <w:t>Phạm vi blockchain</w:t>
      </w:r>
      <w:r>
        <w:rPr>
          <w:b w:val="0"/>
        </w:rPr>
        <w:t xml:space="preserve"> chỉ bao gồm neo hash hoặc Merkle root của các event envelope bất biến theo batch hoặc theo ngày. Blockchain không được dùng để lưu toàn bộ dữ liệu nghiệp vụ, không là nguồn duy nhất để truy vấn vận hành và không được xem là cơ chế xác minh tính đúng của dữ liệu đầu vào.</w:t>
      </w:r>
    </w:p>
    <w:p>
      <w:pPr>
        <w:spacing w:line="307" w:lineRule="auto" w:after="120"/>
        <w:ind w:firstLine="403"/>
        <w:jc w:val="both"/>
      </w:pPr>
      <w:r>
        <w:rPr>
          <w:b w:val="0"/>
        </w:rPr>
      </w:r>
      <w:r>
        <w:rPr>
          <w:b/>
        </w:rPr>
        <w:t>Phạm vi xác thực</w:t>
      </w:r>
      <w:r>
        <w:rPr>
          <w:b w:val="0"/>
        </w:rPr>
        <w:t xml:space="preserve"> tập trung vào kiểm tra tính nhất quán dữ liệu trong hệ thống. Nghiên cứu không tuyên bố có thể xác minh tuyệt đối nguồn gốc thực tế, phát hiện mọi hành vi gian lận hoặc thay thế hệ thống quản lý mã vùng trồng, hoạt động kiểm tra tại hiện trường, tổ chức chứng nhận GAP hay cơ quan quản lý nhà nước.</w:t>
      </w:r>
    </w:p>
    <w:p>
      <w:pPr>
        <w:pStyle w:val="Heading2"/>
      </w:pPr>
      <w:r>
        <w:t>3.4. Phương pháp nghiên cứu</w:t>
      </w:r>
    </w:p>
    <w:p>
      <w:pPr>
        <w:pStyle w:val="Heading3"/>
      </w:pPr>
      <w:r>
        <w:t>Giai đoạn 1 - Phân tích bài toán và yêu cầu</w:t>
      </w:r>
    </w:p>
    <w:p>
      <w:pPr>
        <w:spacing w:line="307" w:lineRule="auto" w:after="120"/>
        <w:ind w:firstLine="403"/>
        <w:jc w:val="both"/>
      </w:pPr>
      <w:r>
        <w:rPr>
          <w:b w:val="0"/>
        </w:rPr>
        <w:t>Nghiên cứu tiến hành khảo sát tài liệu, quy trình nghiệp vụ và kiến trúc BATS để xác định actor, event, data flow, trust boundary, fraud scenario và compliance evidence. Các nhóm tình huống cần phân tích gồm: dùng mã vùng trồng ngoài polygon; khai báo bởi actor không được ủy quyền; sử dụng mã hết hiệu lực; sản lượng vượt năng lực kỳ vọng; tái sử dụng evidence; bất thường không gian-thời gian; đầu ra vượt đầu vào; và custody transition không phù hợp.</w:t>
      </w:r>
    </w:p>
    <w:p>
      <w:pPr>
        <w:spacing w:line="307" w:lineRule="auto" w:after="120"/>
        <w:ind w:firstLine="403"/>
        <w:jc w:val="both"/>
      </w:pPr>
      <w:r>
        <w:rPr>
          <w:b w:val="0"/>
        </w:rPr>
        <w:t>Từ đó xây dựng ma trận “threat - rule - evidence - residual risk”. Ma trận phải mô tả rõ giới hạn, chẳng hạn GPS spoof nằm trong polygon, thông đồng giữa các bên cùng khai dữ liệu giả nhất quán, sự kiện bị cố ý không đưa vào batch, tài khoản bị chiếm quyền hoặc bằng chứng được chụp lại. Các giới hạn này giúp tránh diễn giải kết quả validation thành bằng chứng tuyệt đối về nguồn gốc thực tế.</w:t>
      </w:r>
    </w:p>
    <w:p>
      <w:pPr>
        <w:pStyle w:val="Heading3"/>
      </w:pPr>
      <w:r>
        <w:t>Giai đoạn 2 - Thiết kế mô hình dữ liệu</w:t>
      </w:r>
    </w:p>
    <w:p>
      <w:pPr>
        <w:spacing w:line="307" w:lineRule="auto" w:after="120"/>
        <w:ind w:firstLine="403"/>
        <w:jc w:val="both"/>
      </w:pPr>
      <w:r>
        <w:rPr>
          <w:b w:val="0"/>
        </w:rPr>
        <w:t>GS1 EPCIS được sử dụng làm cơ sở mô hình hóa sự kiện. Các thành phần dữ liệu chính gồm:</w:t>
      </w:r>
    </w:p>
    <w:p>
      <w:pPr>
        <w:pStyle w:val="ListBullet"/>
        <w:spacing w:after="40"/>
      </w:pPr>
      <w:r>
        <w:t>**Object/Event:** sự kiện thu hoạch, giao nhận, đóng gói, biến đổi hoặc xuất hàng.</w:t>
      </w:r>
    </w:p>
    <w:p>
      <w:pPr>
        <w:pStyle w:val="ListBullet"/>
        <w:spacing w:after="40"/>
      </w:pPr>
      <w:r>
        <w:t>**Actor:** nông dân, hợp tác xã, thương lái, cơ sở đóng gói, nhà máy và doanh nghiệp.</w:t>
      </w:r>
    </w:p>
    <w:p>
      <w:pPr>
        <w:pStyle w:val="ListBullet"/>
        <w:spacing w:after="40"/>
      </w:pPr>
      <w:r>
        <w:t>**Location:** vùng trồng, điểm thu hoạch, cơ sở, read point, business location hoặc địa điểm giao nhận.</w:t>
      </w:r>
    </w:p>
    <w:p>
      <w:pPr>
        <w:pStyle w:val="ListBullet"/>
        <w:spacing w:after="40"/>
      </w:pPr>
      <w:r>
        <w:t>**Time:** event time, thời gian ghi nhận và khoảng hiệu lực của mã vùng trồng.</w:t>
      </w:r>
    </w:p>
    <w:p>
      <w:pPr>
        <w:pStyle w:val="ListBullet"/>
        <w:spacing w:after="40"/>
      </w:pPr>
      <w:r>
        <w:t>**Quantity:** khối lượng thu hoạch, đầu vào, đầu ra, hao hụt và đơn vị đo.</w:t>
      </w:r>
    </w:p>
    <w:p>
      <w:pPr>
        <w:pStyle w:val="ListBullet"/>
        <w:spacing w:after="40"/>
      </w:pPr>
      <w:r>
        <w:t>**Batch/Lot:** định danh lô nông sản và liên kết giữa các sự kiện.</w:t>
      </w:r>
    </w:p>
    <w:p>
      <w:pPr>
        <w:pStyle w:val="ListBullet"/>
        <w:spacing w:after="40"/>
      </w:pPr>
      <w:r>
        <w:t>**Evidence:** ảnh, tài liệu, chứng từ, hash, metadata và trạng thái kiểm tra.</w:t>
      </w:r>
    </w:p>
    <w:p>
      <w:pPr>
        <w:pStyle w:val="ListBullet"/>
        <w:spacing w:after="40"/>
      </w:pPr>
      <w:r>
        <w:t>**Plantation Identity:** mã vùng trồng, polygon, diện tích, cây trồng, actor được ủy quyền, trạng thái và thời hạn hiệu lực.</w:t>
      </w:r>
    </w:p>
    <w:p>
      <w:pPr>
        <w:spacing w:line="307" w:lineRule="auto" w:after="120"/>
        <w:ind w:firstLine="403"/>
        <w:jc w:val="both"/>
      </w:pPr>
      <w:r>
        <w:rPr>
          <w:b w:val="0"/>
        </w:rPr>
        <w:t>Đối với các event được hỗ trợ, đề tài xác định EPCIS profile có version rõ ràng và thực hiện kiểm tra schema/Controlled Vocabulary. Sự kiện thu hoạch có thể được biểu diễn bằng ObjectEvent với action ADD; hoạt động gom hàng có thể dùng AggregationEvent khi phù hợp; chuyển giao dùng ObjectEvent hoặc TransactionEvent tùy ngữ nghĩa; biến đổi đầu vào - đầu ra dùng TransformationEvent; shipment kết hợp thông tin source/destination, facility và tham chiếu giao dịch.</w:t>
      </w:r>
    </w:p>
    <w:p>
      <w:pPr>
        <w:pStyle w:val="Heading3"/>
      </w:pPr>
      <w:r>
        <w:t>Giai đoạn 3 - Thu thập dữ liệu hiện trường</w:t>
      </w:r>
    </w:p>
    <w:p>
      <w:pPr>
        <w:spacing w:line="307" w:lineRule="auto" w:after="120"/>
        <w:ind w:firstLine="403"/>
        <w:jc w:val="both"/>
      </w:pPr>
      <w:r>
        <w:rPr>
          <w:b w:val="0"/>
        </w:rPr>
        <w:t>Dựa trên workflow, người dùng hiện trường tạo sự kiện trên Zalo Mini App hoặc giao diện tương đương. Ứng dụng hỗ trợ lưu tạm và đồng bộ khi có kết nối, đồng thời sử dụng idempotency key để giảm nguy cơ tạo trùng sự kiện khi gửi lại dữ liệu.</w:t>
      </w:r>
    </w:p>
    <w:p>
      <w:pPr>
        <w:spacing w:line="307" w:lineRule="auto" w:after="120"/>
        <w:ind w:firstLine="403"/>
        <w:jc w:val="both"/>
      </w:pPr>
      <w:r>
        <w:rPr>
          <w:b w:val="0"/>
        </w:rPr>
        <w:t>Nông dân hoặc hợp tác xã tạo harvest event với plantation code, crop, harvest batch, GPS, timestamp, quantity và evidence. Sau khi event được kiểm tra, hệ thống có thể tạo batch và QR/Digital Link cho các trường hợp phù hợp theo chính sách.</w:t>
      </w:r>
    </w:p>
    <w:p>
      <w:pPr>
        <w:spacing w:line="307" w:lineRule="auto" w:after="120"/>
        <w:ind w:firstLine="403"/>
        <w:jc w:val="both"/>
      </w:pPr>
      <w:r>
        <w:rPr>
          <w:b w:val="0"/>
        </w:rPr>
        <w:t>Đơn vị thu gom quét QR để xem tóm tắt batch, sau đó xác nhận mua hoặc chuyển giao với actual weight, GPS, timestamp và bằng chứng. Cơ sở đóng gói, nhà máy và doanh nghiệp tiếp tục ghi nhận các sự kiện nghiệp vụ liên quan. Mỗi sự kiện được gắn với actor, thời gian, vị trí, batch/lot và nguồn/destination khi có chuyển giao custody.</w:t>
      </w:r>
    </w:p>
    <w:p>
      <w:pPr>
        <w:pStyle w:val="Heading3"/>
      </w:pPr>
      <w:r>
        <w:t>Giai đoạn 4 - Validation Engine</w:t>
      </w:r>
    </w:p>
    <w:p>
      <w:pPr>
        <w:spacing w:line="307" w:lineRule="auto" w:after="120"/>
        <w:ind w:firstLine="403"/>
        <w:jc w:val="both"/>
      </w:pPr>
      <w:r>
        <w:rPr>
          <w:b w:val="0"/>
        </w:rPr>
        <w:t>PCIE thực hiện validation trước khi dữ liệu được đưa vào quy trình neo bằng chứng. Các nhóm kiểm tra gồm:</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pPr>
              <w:spacing w:after="0" w:line="240" w:lineRule="auto"/>
            </w:pPr>
            <w:r/>
            <w:r>
              <w:rPr>
                <w:rFonts w:ascii="Times New Roman" w:hAnsi="Times New Roman" w:eastAsia="Times New Roman"/>
                <w:b/>
                <w:sz w:val="14"/>
              </w:rPr>
              <w:t>Nhóm kiểm tra</w:t>
            </w:r>
          </w:p>
        </w:tc>
        <w:tc>
          <w:tcPr>
            <w:tcW w:type="dxa" w:w="5040"/>
            <w:vAlign w:val="center"/>
            <w:shd w:fill="D9E2F3"/>
          </w:tcPr>
          <w:p>
            <w:pPr>
              <w:spacing w:after="0" w:line="240" w:lineRule="auto"/>
            </w:pPr>
            <w:r/>
            <w:r>
              <w:rPr>
                <w:rFonts w:ascii="Times New Roman" w:hAnsi="Times New Roman" w:eastAsia="Times New Roman"/>
                <w:b/>
                <w:sz w:val="14"/>
              </w:rPr>
              <w:t>Nội dung</w:t>
            </w:r>
          </w:p>
        </w:tc>
      </w:tr>
      <w:tr>
        <w:tc>
          <w:tcPr>
            <w:tcW w:type="dxa" w:w="5040"/>
            <w:vAlign w:val="center"/>
          </w:tcPr>
          <w:p>
            <w:pPr>
              <w:spacing w:after="0" w:line="240" w:lineRule="auto"/>
            </w:pPr>
            <w:r/>
            <w:r>
              <w:rPr>
                <w:rFonts w:ascii="Times New Roman" w:hAnsi="Times New Roman" w:eastAsia="Times New Roman"/>
                <w:b w:val="0"/>
                <w:sz w:val="14"/>
              </w:rPr>
              <w:t>Location validation</w:t>
            </w:r>
          </w:p>
        </w:tc>
        <w:tc>
          <w:tcPr>
            <w:tcW w:type="dxa" w:w="5040"/>
            <w:vAlign w:val="center"/>
          </w:tcPr>
          <w:p>
            <w:pPr>
              <w:spacing w:after="0" w:line="240" w:lineRule="auto"/>
            </w:pPr>
            <w:r/>
            <w:r>
              <w:rPr>
                <w:rFonts w:ascii="Times New Roman" w:hAnsi="Times New Roman" w:eastAsia="Times New Roman"/>
                <w:b w:val="0"/>
                <w:sz w:val="14"/>
              </w:rPr>
              <w:t>Kiểm tra điểm sự kiện so với polygon vùng trồng đã được đăng ký độc lập, có xét chính sách biên và độ chính xác GPS</w:t>
            </w:r>
          </w:p>
        </w:tc>
      </w:tr>
      <w:tr>
        <w:tc>
          <w:tcPr>
            <w:tcW w:type="dxa" w:w="5040"/>
            <w:vAlign w:val="center"/>
          </w:tcPr>
          <w:p>
            <w:pPr>
              <w:spacing w:after="0" w:line="240" w:lineRule="auto"/>
            </w:pPr>
            <w:r/>
            <w:r>
              <w:rPr>
                <w:rFonts w:ascii="Times New Roman" w:hAnsi="Times New Roman" w:eastAsia="Times New Roman"/>
                <w:b w:val="0"/>
                <w:sz w:val="14"/>
              </w:rPr>
              <w:t>Actor/role validation</w:t>
            </w:r>
          </w:p>
        </w:tc>
        <w:tc>
          <w:tcPr>
            <w:tcW w:type="dxa" w:w="5040"/>
            <w:vAlign w:val="center"/>
          </w:tcPr>
          <w:p>
            <w:pPr>
              <w:spacing w:after="0" w:line="240" w:lineRule="auto"/>
            </w:pPr>
            <w:r/>
            <w:r>
              <w:rPr>
                <w:rFonts w:ascii="Times New Roman" w:hAnsi="Times New Roman" w:eastAsia="Times New Roman"/>
                <w:b w:val="0"/>
                <w:sz w:val="14"/>
              </w:rPr>
              <w:t>Kiểm tra actor có quyền sử dụng mã vùng trồng hoặc thực hiện sự kiện tại thời điểm tương ứng</w:t>
            </w:r>
          </w:p>
        </w:tc>
      </w:tr>
      <w:tr>
        <w:tc>
          <w:tcPr>
            <w:tcW w:type="dxa" w:w="5040"/>
            <w:vAlign w:val="center"/>
          </w:tcPr>
          <w:p>
            <w:pPr>
              <w:spacing w:after="0" w:line="240" w:lineRule="auto"/>
            </w:pPr>
            <w:r/>
            <w:r>
              <w:rPr>
                <w:rFonts w:ascii="Times New Roman" w:hAnsi="Times New Roman" w:eastAsia="Times New Roman"/>
                <w:b w:val="0"/>
                <w:sz w:val="14"/>
              </w:rPr>
              <w:t>Crop validation</w:t>
            </w:r>
          </w:p>
        </w:tc>
        <w:tc>
          <w:tcPr>
            <w:tcW w:type="dxa" w:w="5040"/>
            <w:vAlign w:val="center"/>
          </w:tcPr>
          <w:p>
            <w:pPr>
              <w:spacing w:after="0" w:line="240" w:lineRule="auto"/>
            </w:pPr>
            <w:r/>
            <w:r>
              <w:rPr>
                <w:rFonts w:ascii="Times New Roman" w:hAnsi="Times New Roman" w:eastAsia="Times New Roman"/>
                <w:b w:val="0"/>
                <w:sz w:val="14"/>
              </w:rPr>
              <w:t>Đối chiếu cây trồng/giống, mùa vụ hoặc phạm vi áp dụng với Plantation Identity khi có dữ liệu</w:t>
            </w:r>
          </w:p>
        </w:tc>
      </w:tr>
      <w:tr>
        <w:tc>
          <w:tcPr>
            <w:tcW w:type="dxa" w:w="5040"/>
            <w:vAlign w:val="center"/>
          </w:tcPr>
          <w:p>
            <w:pPr>
              <w:spacing w:after="0" w:line="240" w:lineRule="auto"/>
            </w:pPr>
            <w:r/>
            <w:r>
              <w:rPr>
                <w:rFonts w:ascii="Times New Roman" w:hAnsi="Times New Roman" w:eastAsia="Times New Roman"/>
                <w:b w:val="0"/>
                <w:sz w:val="14"/>
              </w:rPr>
              <w:t>Yield validation</w:t>
            </w:r>
          </w:p>
        </w:tc>
        <w:tc>
          <w:tcPr>
            <w:tcW w:type="dxa" w:w="5040"/>
            <w:vAlign w:val="center"/>
          </w:tcPr>
          <w:p>
            <w:pPr>
              <w:spacing w:after="0" w:line="240" w:lineRule="auto"/>
            </w:pPr>
            <w:r/>
            <w:r>
              <w:rPr>
                <w:rFonts w:ascii="Times New Roman" w:hAnsi="Times New Roman" w:eastAsia="Times New Roman"/>
                <w:b w:val="0"/>
                <w:sz w:val="14"/>
              </w:rPr>
              <w:t>So sánh sản lượng tích lũy với mô hình năng lực theo diện tích, cây trồng, giống, mùa vụ và dung sai</w:t>
            </w:r>
          </w:p>
        </w:tc>
      </w:tr>
      <w:tr>
        <w:tc>
          <w:tcPr>
            <w:tcW w:type="dxa" w:w="5040"/>
            <w:vAlign w:val="center"/>
          </w:tcPr>
          <w:p>
            <w:pPr>
              <w:spacing w:after="0" w:line="240" w:lineRule="auto"/>
            </w:pPr>
            <w:r/>
            <w:r>
              <w:rPr>
                <w:rFonts w:ascii="Times New Roman" w:hAnsi="Times New Roman" w:eastAsia="Times New Roman"/>
                <w:b w:val="0"/>
                <w:sz w:val="14"/>
              </w:rPr>
              <w:t>Batch validation</w:t>
            </w:r>
          </w:p>
        </w:tc>
        <w:tc>
          <w:tcPr>
            <w:tcW w:type="dxa" w:w="5040"/>
            <w:vAlign w:val="center"/>
          </w:tcPr>
          <w:p>
            <w:pPr>
              <w:spacing w:after="0" w:line="240" w:lineRule="auto"/>
            </w:pPr>
            <w:r/>
            <w:r>
              <w:rPr>
                <w:rFonts w:ascii="Times New Roman" w:hAnsi="Times New Roman" w:eastAsia="Times New Roman"/>
                <w:b w:val="0"/>
                <w:sz w:val="14"/>
              </w:rPr>
              <w:t>Kiểm tra định danh batch, quan hệ lô hàng, chống trùng hoặc payload conflict</w:t>
            </w:r>
          </w:p>
        </w:tc>
      </w:tr>
      <w:tr>
        <w:tc>
          <w:tcPr>
            <w:tcW w:type="dxa" w:w="5040"/>
            <w:vAlign w:val="center"/>
          </w:tcPr>
          <w:p>
            <w:pPr>
              <w:spacing w:after="0" w:line="240" w:lineRule="auto"/>
            </w:pPr>
            <w:r/>
            <w:r>
              <w:rPr>
                <w:rFonts w:ascii="Times New Roman" w:hAnsi="Times New Roman" w:eastAsia="Times New Roman"/>
                <w:b w:val="0"/>
                <w:sz w:val="14"/>
              </w:rPr>
              <w:t>Timestamp validation</w:t>
            </w:r>
          </w:p>
        </w:tc>
        <w:tc>
          <w:tcPr>
            <w:tcW w:type="dxa" w:w="5040"/>
            <w:vAlign w:val="center"/>
          </w:tcPr>
          <w:p>
            <w:pPr>
              <w:spacing w:after="0" w:line="240" w:lineRule="auto"/>
            </w:pPr>
            <w:r/>
            <w:r>
              <w:rPr>
                <w:rFonts w:ascii="Times New Roman" w:hAnsi="Times New Roman" w:eastAsia="Times New Roman"/>
                <w:b w:val="0"/>
                <w:sz w:val="14"/>
              </w:rPr>
              <w:t>Kiểm tra thời điểm với khoảng hiệu lực mã, trình tự nghiệp vụ và các bất thường không gian-thời gian</w:t>
            </w:r>
          </w:p>
        </w:tc>
      </w:tr>
      <w:tr>
        <w:tc>
          <w:tcPr>
            <w:tcW w:type="dxa" w:w="5040"/>
            <w:vAlign w:val="center"/>
          </w:tcPr>
          <w:p>
            <w:pPr>
              <w:spacing w:after="0" w:line="240" w:lineRule="auto"/>
            </w:pPr>
            <w:r/>
            <w:r>
              <w:rPr>
                <w:rFonts w:ascii="Times New Roman" w:hAnsi="Times New Roman" w:eastAsia="Times New Roman"/>
                <w:b w:val="0"/>
                <w:sz w:val="14"/>
              </w:rPr>
              <w:t>Mass-balance validation</w:t>
            </w:r>
          </w:p>
        </w:tc>
        <w:tc>
          <w:tcPr>
            <w:tcW w:type="dxa" w:w="5040"/>
            <w:vAlign w:val="center"/>
          </w:tcPr>
          <w:p>
            <w:pPr>
              <w:spacing w:after="0" w:line="240" w:lineRule="auto"/>
            </w:pPr>
            <w:r/>
            <w:r>
              <w:rPr>
                <w:rFonts w:ascii="Times New Roman" w:hAnsi="Times New Roman" w:eastAsia="Times New Roman"/>
                <w:b w:val="0"/>
                <w:sz w:val="14"/>
              </w:rPr>
              <w:t>Kiểm tra đầu ra claim so với đầu vào có provenance hợp lệ, tỷ lệ thu hồi và dung sai</w:t>
            </w:r>
          </w:p>
        </w:tc>
      </w:tr>
      <w:tr>
        <w:tc>
          <w:tcPr>
            <w:tcW w:type="dxa" w:w="5040"/>
            <w:vAlign w:val="center"/>
          </w:tcPr>
          <w:p>
            <w:pPr>
              <w:spacing w:after="0" w:line="240" w:lineRule="auto"/>
            </w:pPr>
            <w:r/>
            <w:r>
              <w:rPr>
                <w:rFonts w:ascii="Times New Roman" w:hAnsi="Times New Roman" w:eastAsia="Times New Roman"/>
                <w:b w:val="0"/>
                <w:sz w:val="14"/>
              </w:rPr>
              <w:t>Cross-event consistency</w:t>
            </w:r>
          </w:p>
        </w:tc>
        <w:tc>
          <w:tcPr>
            <w:tcW w:type="dxa" w:w="5040"/>
            <w:vAlign w:val="center"/>
          </w:tcPr>
          <w:p>
            <w:pPr>
              <w:spacing w:after="0" w:line="240" w:lineRule="auto"/>
            </w:pPr>
            <w:r/>
            <w:r>
              <w:rPr>
                <w:rFonts w:ascii="Times New Roman" w:hAnsi="Times New Roman" w:eastAsia="Times New Roman"/>
                <w:b w:val="0"/>
                <w:sz w:val="14"/>
              </w:rPr>
              <w:t>Kiểm tra quan hệ custody, source/destination, trạng thái chuỗi và liên kết giữa các sự kiện</w:t>
            </w:r>
          </w:p>
        </w:tc>
      </w:tr>
    </w:tbl>
    <w:p>
      <w:pPr>
        <w:spacing w:after="60"/>
      </w:pPr>
    </w:p>
    <w:p>
      <w:pPr>
        <w:spacing w:line="307" w:lineRule="auto" w:after="120"/>
        <w:ind w:firstLine="403"/>
        <w:jc w:val="both"/>
      </w:pPr>
      <w:r>
        <w:rPr>
          <w:b w:val="0"/>
        </w:rPr>
        <w:t xml:space="preserve">Kết quả validation được phân thành ít nhất ba trạng thái: </w:t>
      </w:r>
      <w:r>
        <w:rPr>
          <w:b/>
        </w:rPr>
        <w:t>PASS</w:t>
      </w:r>
      <w:r>
        <w:rPr>
          <w:b w:val="0"/>
        </w:rPr>
        <w:t xml:space="preserve">, </w:t>
      </w:r>
      <w:r>
        <w:rPr>
          <w:b/>
        </w:rPr>
        <w:t>REVIEW</w:t>
      </w:r>
      <w:r>
        <w:rPr>
          <w:b w:val="0"/>
        </w:rPr>
        <w:t xml:space="preserve"> và </w:t>
      </w:r>
      <w:r>
        <w:rPr>
          <w:b/>
        </w:rPr>
        <w:t>BLOCK</w:t>
      </w:r>
      <w:r>
        <w:rPr>
          <w:b w:val="0"/>
        </w:rPr>
        <w:t>. Các luật hard invariant, như actor không có quyền, mã không còn active hoặc trạng thái custody không hợp lệ, có thể dẫn đến BLOCK tùy chính sách. Các tình huống có độ bất định như GPS suy giảm chất lượng, sai lệch nhỏ về mass balance hoặc năng suất sát ngưỡng có thể được đưa vào REVIEW để người có thẩm quyền xem xét.</w:t>
      </w:r>
    </w:p>
    <w:p>
      <w:pPr>
        <w:spacing w:line="307" w:lineRule="auto" w:after="120"/>
        <w:ind w:firstLine="403"/>
        <w:jc w:val="both"/>
      </w:pPr>
      <w:r>
        <w:rPr>
          <w:b w:val="0"/>
        </w:rPr>
        <w:t>Risk score, nếu được sử dụng, chỉ dùng để ưu tiên rà soát; không được diễn giải rằng điểm thấp đồng nghĩa dữ liệu không có vấn đề. Mọi cảnh báo cần cung cấp lý do, dữ liệu ngữ cảnh và evidence trail để hỗ trợ kiểm toán.</w:t>
      </w:r>
    </w:p>
    <w:p>
      <w:pPr>
        <w:pStyle w:val="Heading3"/>
      </w:pPr>
      <w:r>
        <w:t>Giai đoạn 5 - Evidence hashing và blockchain anchoring</w:t>
      </w:r>
    </w:p>
    <w:p>
      <w:pPr>
        <w:spacing w:line="307" w:lineRule="auto" w:after="120"/>
        <w:ind w:firstLine="403"/>
        <w:jc w:val="both"/>
      </w:pPr>
      <w:r>
        <w:rPr>
          <w:b w:val="0"/>
        </w:rPr>
        <w:t>Sau khi event đã được xử lý theo policy, hệ thống tạo canonical event envelope chứa các trường bất biến cần bảo toàn, ví dụ schema version, event ID, event time, actor ID, identifier, event type, action, business step, source/destination, payload, evidence hash và trạng thái policy liên quan.</w:t>
      </w:r>
    </w:p>
    <w:p>
      <w:pPr>
        <w:spacing w:line="307" w:lineRule="auto" w:after="120"/>
        <w:ind w:firstLine="403"/>
        <w:jc w:val="both"/>
      </w:pPr>
      <w:r>
        <w:rPr>
          <w:b w:val="0"/>
        </w:rPr>
        <w:t>Hash leaf được tạo từ biểu diễn canonical của event envelope. Các hash leaf được sắp xếp xác định, ghép thành Merkle tree và tạo root theo batch hoặc theo ngày. Đề tài có thể áp dụng domain separation giữa leaf và internal node để giảm mơ hồ ngữ nghĩa khi xây dựng cây hash. Root được neo lên EVM blockchain; dữ liệu nghiệp vụ và evidence binary vẫn được lưu ngoài chuỗi trong EPCIS Event Store, PostgreSQL/PostGIS và kho evidence phù hợp.</w:t>
      </w:r>
    </w:p>
    <w:p>
      <w:pPr>
        <w:spacing w:line="307" w:lineRule="auto" w:after="120"/>
        <w:ind w:firstLine="403"/>
        <w:jc w:val="both"/>
      </w:pPr>
      <w:r>
        <w:rPr>
          <w:b w:val="0"/>
        </w:rPr>
        <w:t>Cơ chế này được sử dụng để kiểm tra tính toàn vẹn sau commitment: verifier tái canonicalize event đang được trình bày, tái tính leaf hash và kiểm tra Merkle proof với root đã neo. Việc proof hợp lệ cho thấy event phù hợp với commitment đã neo theo mô hình đã thiết kế; nó không tự chứng minh rằng toàn bộ sự kiện cần có đều đã được đưa vào batch hoặc dữ liệu ban đầu phản ánh hoàn toàn thế giới thực.</w:t>
      </w:r>
    </w:p>
    <w:p>
      <w:pPr>
        <w:pStyle w:val="Heading3"/>
      </w:pPr>
      <w:r>
        <w:t>Giai đoạn 6 - Truy xuất và kiểm toán</w:t>
      </w:r>
    </w:p>
    <w:p>
      <w:pPr>
        <w:spacing w:line="307" w:lineRule="auto" w:after="120"/>
        <w:ind w:firstLine="403"/>
        <w:jc w:val="both"/>
      </w:pPr>
      <w:r>
        <w:rPr>
          <w:b w:val="0"/>
        </w:rPr>
        <w:t>Website Operations và Public QR/Digital Link Verifier cung cấp các chức năng truy xuất theo quyền:</w:t>
      </w:r>
    </w:p>
    <w:p>
      <w:pPr>
        <w:pStyle w:val="ListBullet"/>
        <w:spacing w:after="40"/>
      </w:pPr>
      <w:r>
        <w:t>Tra cứu batch hoặc QR/Digital Link.</w:t>
      </w:r>
    </w:p>
    <w:p>
      <w:pPr>
        <w:pStyle w:val="ListBullet"/>
        <w:spacing w:after="40"/>
      </w:pPr>
      <w:r>
        <w:t>Xem lịch sử sự kiện theo hướng truy vết ngược và xuôi.</w:t>
      </w:r>
    </w:p>
    <w:p>
      <w:pPr>
        <w:pStyle w:val="ListBullet"/>
        <w:spacing w:after="40"/>
      </w:pPr>
      <w:r>
        <w:t>Hiển thị provenance graph và quan hệ custody.</w:t>
      </w:r>
    </w:p>
    <w:p>
      <w:pPr>
        <w:pStyle w:val="ListBullet"/>
        <w:spacing w:after="40"/>
      </w:pPr>
      <w:r>
        <w:t>Xem trạng thái validation, cảnh báo và lý do cần rà soát.</w:t>
      </w:r>
    </w:p>
    <w:p>
      <w:pPr>
        <w:pStyle w:val="ListBullet"/>
        <w:spacing w:after="40"/>
      </w:pPr>
      <w:r>
        <w:t>Xem tóm tắt mass balance theo lô hoặc cơ sở.</w:t>
      </w:r>
    </w:p>
    <w:p>
      <w:pPr>
        <w:pStyle w:val="ListBullet"/>
        <w:spacing w:after="40"/>
      </w:pPr>
      <w:r>
        <w:t>Kiểm tra trạng thái evidence và tài liệu liên quan theo quyền truy cập.</w:t>
      </w:r>
    </w:p>
    <w:p>
      <w:pPr>
        <w:pStyle w:val="ListBullet"/>
        <w:spacing w:after="40"/>
      </w:pPr>
      <w:r>
        <w:t>Xác minh canonical hash, Merkle proof và blockchain anchor khi áp dụng.</w:t>
      </w:r>
    </w:p>
    <w:p>
      <w:pPr>
        <w:spacing w:line="307" w:lineRule="auto" w:after="120"/>
        <w:ind w:firstLine="403"/>
        <w:jc w:val="both"/>
      </w:pPr>
      <w:r>
        <w:rPr>
          <w:b w:val="0"/>
        </w:rPr>
        <w:t>Lớp giao diện công khai chỉ nên công bố thông tin phù hợp với chính sách bảo vệ dữ liệu và vai trò người dùng. Các dữ liệu nhạy cảm như định vị chi tiết, hồ sơ nội bộ hoặc thông tin thương mại cần được phân quyền thay vì công khai toàn bộ.</w:t>
      </w:r>
    </w:p>
    <w:p>
      <w:pPr>
        <w:pStyle w:val="Heading3"/>
      </w:pPr>
      <w:r>
        <w:t>Giai đoạn 7 - Thực nghiệm và đánh giá</w:t>
      </w:r>
    </w:p>
    <w:p>
      <w:pPr>
        <w:spacing w:line="307" w:lineRule="auto" w:after="120"/>
        <w:ind w:firstLine="403"/>
        <w:jc w:val="both"/>
      </w:pPr>
      <w:r>
        <w:rPr>
          <w:b w:val="0"/>
        </w:rPr>
        <w:t>Đề tài sử dụng phương pháp thực nghiệm với dữ liệu mô phỏng có kịch bản và, nếu khả thi, dữ liệu thí điểm đã được ẩn danh. Nhãn ground truth cần được xây dựng độc lập với implementation của detector để hạn chế đánh giá vòng tròn.</w:t>
      </w:r>
    </w:p>
    <w:p>
      <w:pPr>
        <w:spacing w:line="307" w:lineRule="auto" w:after="120"/>
        <w:ind w:firstLine="403"/>
        <w:jc w:val="both"/>
      </w:pPr>
      <w:r>
        <w:rPr>
          <w:b w:val="0"/>
        </w:rPr>
        <w:t>Tập dữ liệu hợp lệ có thể gồm các event đúng vùng, đúng actor, đúng trạng thái; trường hợp GPS sát biên; nhiều lần thu hoạch hợp lệ; hao hụt đóng gói; tồn kho chuyển kỳ; và GPS suy giảm nhưng vẫn có thể chấp nhận theo chính sách. Tập đối kháng có thể gồm các kịch bản sai vùng, sai actor, mã hết hiệu lực, vượt năng lực, lặp evidence, chia sẻ mã bất thường theo không gian-thời gian, đầu ra vượt đầu vào, custody transition không hợp lệ và dữ liệu bị sửa sau anchor.</w:t>
      </w:r>
    </w:p>
    <w:p>
      <w:pPr>
        <w:spacing w:line="307" w:lineRule="auto" w:after="120"/>
        <w:ind w:firstLine="403"/>
        <w:jc w:val="both"/>
      </w:pPr>
      <w:r>
        <w:rPr>
          <w:b w:val="0"/>
        </w:rPr>
        <w:t>Các nhóm chỉ số đánh giá gồm:</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pPr>
              <w:spacing w:after="0" w:line="240" w:lineRule="auto"/>
            </w:pPr>
            <w:r/>
            <w:r>
              <w:rPr>
                <w:rFonts w:ascii="Times New Roman" w:hAnsi="Times New Roman" w:eastAsia="Times New Roman"/>
                <w:b/>
                <w:sz w:val="14"/>
              </w:rPr>
              <w:t>Nhóm</w:t>
            </w:r>
          </w:p>
        </w:tc>
        <w:tc>
          <w:tcPr>
            <w:tcW w:type="dxa" w:w="5040"/>
            <w:vAlign w:val="center"/>
            <w:shd w:fill="D9E2F3"/>
          </w:tcPr>
          <w:p>
            <w:pPr>
              <w:spacing w:after="0" w:line="240" w:lineRule="auto"/>
            </w:pPr>
            <w:r/>
            <w:r>
              <w:rPr>
                <w:rFonts w:ascii="Times New Roman" w:hAnsi="Times New Roman" w:eastAsia="Times New Roman"/>
                <w:b/>
                <w:sz w:val="14"/>
              </w:rPr>
              <w:t>Chỉ số/tiêu chí đánh giá</w:t>
            </w:r>
          </w:p>
        </w:tc>
      </w:tr>
      <w:tr>
        <w:tc>
          <w:tcPr>
            <w:tcW w:type="dxa" w:w="5040"/>
            <w:vAlign w:val="center"/>
          </w:tcPr>
          <w:p>
            <w:pPr>
              <w:spacing w:after="0" w:line="240" w:lineRule="auto"/>
            </w:pPr>
            <w:r/>
            <w:r>
              <w:rPr>
                <w:rFonts w:ascii="Times New Roman" w:hAnsi="Times New Roman" w:eastAsia="Times New Roman"/>
                <w:b w:val="0"/>
                <w:sz w:val="14"/>
              </w:rPr>
              <w:t>Traceability</w:t>
            </w:r>
          </w:p>
        </w:tc>
        <w:tc>
          <w:tcPr>
            <w:tcW w:type="dxa" w:w="5040"/>
            <w:vAlign w:val="center"/>
          </w:tcPr>
          <w:p>
            <w:pPr>
              <w:spacing w:after="0" w:line="240" w:lineRule="auto"/>
            </w:pPr>
            <w:r/>
            <w:r>
              <w:rPr>
                <w:rFonts w:ascii="Times New Roman" w:hAnsi="Times New Roman" w:eastAsia="Times New Roman"/>
                <w:b w:val="0"/>
                <w:sz w:val="14"/>
              </w:rPr>
              <w:t>Tỷ lệ sự kiện được liên kết đúng; khả năng truy xuất xuôi/ngược theo batch và chain-of-custody</w:t>
            </w:r>
          </w:p>
        </w:tc>
      </w:tr>
      <w:tr>
        <w:tc>
          <w:tcPr>
            <w:tcW w:type="dxa" w:w="5040"/>
            <w:vAlign w:val="center"/>
          </w:tcPr>
          <w:p>
            <w:pPr>
              <w:spacing w:after="0" w:line="240" w:lineRule="auto"/>
            </w:pPr>
            <w:r/>
            <w:r>
              <w:rPr>
                <w:rFonts w:ascii="Times New Roman" w:hAnsi="Times New Roman" w:eastAsia="Times New Roman"/>
                <w:b w:val="0"/>
                <w:sz w:val="14"/>
              </w:rPr>
              <w:t>Validation</w:t>
            </w:r>
          </w:p>
        </w:tc>
        <w:tc>
          <w:tcPr>
            <w:tcW w:type="dxa" w:w="5040"/>
            <w:vAlign w:val="center"/>
          </w:tcPr>
          <w:p>
            <w:pPr>
              <w:spacing w:after="0" w:line="240" w:lineRule="auto"/>
            </w:pPr>
            <w:r/>
            <w:r>
              <w:rPr>
                <w:rFonts w:ascii="Times New Roman" w:hAnsi="Times New Roman" w:eastAsia="Times New Roman"/>
                <w:b w:val="0"/>
                <w:sz w:val="14"/>
              </w:rPr>
              <w:t>Precision, recall, F1, false positive rate, false negative rate khi có nhãn phù hợp; độ bao phủ rule theo kịch bản</w:t>
            </w:r>
          </w:p>
        </w:tc>
      </w:tr>
      <w:tr>
        <w:tc>
          <w:tcPr>
            <w:tcW w:type="dxa" w:w="5040"/>
            <w:vAlign w:val="center"/>
          </w:tcPr>
          <w:p>
            <w:pPr>
              <w:spacing w:after="0" w:line="240" w:lineRule="auto"/>
            </w:pPr>
            <w:r/>
            <w:r>
              <w:rPr>
                <w:rFonts w:ascii="Times New Roman" w:hAnsi="Times New Roman" w:eastAsia="Times New Roman"/>
                <w:b w:val="0"/>
                <w:sz w:val="14"/>
              </w:rPr>
              <w:t>Mass balance</w:t>
            </w:r>
          </w:p>
        </w:tc>
        <w:tc>
          <w:tcPr>
            <w:tcW w:type="dxa" w:w="5040"/>
            <w:vAlign w:val="center"/>
          </w:tcPr>
          <w:p>
            <w:pPr>
              <w:spacing w:after="0" w:line="240" w:lineRule="auto"/>
            </w:pPr>
            <w:r/>
            <w:r>
              <w:rPr>
                <w:rFonts w:ascii="Times New Roman" w:hAnsi="Times New Roman" w:eastAsia="Times New Roman"/>
                <w:b w:val="0"/>
                <w:sz w:val="14"/>
              </w:rPr>
              <w:t>Khả năng phát hiện đầu ra vượt đầu vào; độ nhạy theo dung sai và tỷ lệ thu hồi</w:t>
            </w:r>
          </w:p>
        </w:tc>
      </w:tr>
      <w:tr>
        <w:tc>
          <w:tcPr>
            <w:tcW w:type="dxa" w:w="5040"/>
            <w:vAlign w:val="center"/>
          </w:tcPr>
          <w:p>
            <w:pPr>
              <w:spacing w:after="0" w:line="240" w:lineRule="auto"/>
            </w:pPr>
            <w:r/>
            <w:r>
              <w:rPr>
                <w:rFonts w:ascii="Times New Roman" w:hAnsi="Times New Roman" w:eastAsia="Times New Roman"/>
                <w:b w:val="0"/>
                <w:sz w:val="14"/>
              </w:rPr>
              <w:t>Spatial validation</w:t>
            </w:r>
          </w:p>
        </w:tc>
        <w:tc>
          <w:tcPr>
            <w:tcW w:type="dxa" w:w="5040"/>
            <w:vAlign w:val="center"/>
          </w:tcPr>
          <w:p>
            <w:pPr>
              <w:spacing w:after="0" w:line="240" w:lineRule="auto"/>
            </w:pPr>
            <w:r/>
            <w:r>
              <w:rPr>
                <w:rFonts w:ascii="Times New Roman" w:hAnsi="Times New Roman" w:eastAsia="Times New Roman"/>
                <w:b w:val="0"/>
                <w:sz w:val="14"/>
              </w:rPr>
              <w:t>Khả năng phát hiện event ngoài vùng trồng; hành vi tại biên polygon; ảnh hưởng của GPS accuracy</w:t>
            </w:r>
          </w:p>
        </w:tc>
      </w:tr>
      <w:tr>
        <w:tc>
          <w:tcPr>
            <w:tcW w:type="dxa" w:w="5040"/>
            <w:vAlign w:val="center"/>
          </w:tcPr>
          <w:p>
            <w:pPr>
              <w:spacing w:after="0" w:line="240" w:lineRule="auto"/>
            </w:pPr>
            <w:r/>
            <w:r>
              <w:rPr>
                <w:rFonts w:ascii="Times New Roman" w:hAnsi="Times New Roman" w:eastAsia="Times New Roman"/>
                <w:b w:val="0"/>
                <w:sz w:val="14"/>
              </w:rPr>
              <w:t>Integrity</w:t>
            </w:r>
          </w:p>
        </w:tc>
        <w:tc>
          <w:tcPr>
            <w:tcW w:type="dxa" w:w="5040"/>
            <w:vAlign w:val="center"/>
          </w:tcPr>
          <w:p>
            <w:pPr>
              <w:spacing w:after="0" w:line="240" w:lineRule="auto"/>
            </w:pPr>
            <w:r/>
            <w:r>
              <w:rPr>
                <w:rFonts w:ascii="Times New Roman" w:hAnsi="Times New Roman" w:eastAsia="Times New Roman"/>
                <w:b w:val="0"/>
                <w:sz w:val="14"/>
              </w:rPr>
              <w:t>Khả năng phát hiện thay đổi trường dữ liệu sau commitment; tỷ lệ xác minh Merkle proof thành công/thất bại theo kịch bản</w:t>
            </w:r>
          </w:p>
        </w:tc>
      </w:tr>
      <w:tr>
        <w:tc>
          <w:tcPr>
            <w:tcW w:type="dxa" w:w="5040"/>
            <w:vAlign w:val="center"/>
          </w:tcPr>
          <w:p>
            <w:pPr>
              <w:spacing w:after="0" w:line="240" w:lineRule="auto"/>
            </w:pPr>
            <w:r/>
            <w:r>
              <w:rPr>
                <w:rFonts w:ascii="Times New Roman" w:hAnsi="Times New Roman" w:eastAsia="Times New Roman"/>
                <w:b w:val="0"/>
                <w:sz w:val="14"/>
              </w:rPr>
              <w:t>Interoperability</w:t>
            </w:r>
          </w:p>
        </w:tc>
        <w:tc>
          <w:tcPr>
            <w:tcW w:type="dxa" w:w="5040"/>
            <w:vAlign w:val="center"/>
          </w:tcPr>
          <w:p>
            <w:pPr>
              <w:spacing w:after="0" w:line="240" w:lineRule="auto"/>
            </w:pPr>
            <w:r/>
            <w:r>
              <w:rPr>
                <w:rFonts w:ascii="Times New Roman" w:hAnsi="Times New Roman" w:eastAsia="Times New Roman"/>
                <w:b w:val="0"/>
                <w:sz w:val="14"/>
              </w:rPr>
              <w:t>Tỷ lệ event hỗ trợ vượt kiểm tra EPCIS schema/profile và vocabulary</w:t>
            </w:r>
          </w:p>
        </w:tc>
      </w:tr>
      <w:tr>
        <w:tc>
          <w:tcPr>
            <w:tcW w:type="dxa" w:w="5040"/>
            <w:vAlign w:val="center"/>
          </w:tcPr>
          <w:p>
            <w:pPr>
              <w:spacing w:after="0" w:line="240" w:lineRule="auto"/>
            </w:pPr>
            <w:r/>
            <w:r>
              <w:rPr>
                <w:rFonts w:ascii="Times New Roman" w:hAnsi="Times New Roman" w:eastAsia="Times New Roman"/>
                <w:b w:val="0"/>
                <w:sz w:val="14"/>
              </w:rPr>
              <w:t>System performance</w:t>
            </w:r>
          </w:p>
        </w:tc>
        <w:tc>
          <w:tcPr>
            <w:tcW w:type="dxa" w:w="5040"/>
            <w:vAlign w:val="center"/>
          </w:tcPr>
          <w:p>
            <w:pPr>
              <w:spacing w:after="0" w:line="240" w:lineRule="auto"/>
            </w:pPr>
            <w:r/>
            <w:r>
              <w:rPr>
                <w:rFonts w:ascii="Times New Roman" w:hAnsi="Times New Roman" w:eastAsia="Times New Roman"/>
                <w:b w:val="0"/>
                <w:sz w:val="14"/>
              </w:rPr>
              <w:t>p50/p95 latency, throughput, thời gian PostGIS lookup, tỷ lệ lỗi, hành vi replay/idempotency, chi phí neo root và chi phí bình quân theo event</w:t>
            </w:r>
          </w:p>
        </w:tc>
      </w:tr>
    </w:tbl>
    <w:p>
      <w:pPr>
        <w:spacing w:after="60"/>
      </w:pPr>
    </w:p>
    <w:p>
      <w:pPr>
        <w:spacing w:line="307" w:lineRule="auto" w:after="120"/>
        <w:ind w:firstLine="403"/>
        <w:jc w:val="both"/>
      </w:pPr>
      <w:r>
        <w:rPr>
          <w:b w:val="0"/>
        </w:rPr>
        <w:t>Ngoài đánh giá full system, đề tài thực hiện baseline và ablation. Baseline có thể bao gồm traceability-only và phiên bản chỉ có kiểm tra event-level. Ablation loại lần lượt từng nhóm luật G/I/S/Y/D/T/M/C để xác định đóng góp biên và nguồn gây false positive. Kết quả thực nghiệm chỉ được trình bày sau khi đo lường; không tự đặt ra hay suy diễn kết quả trước quá trình đánh giá.</w:t>
      </w:r>
    </w:p>
    <w:p>
      <w:pPr>
        <w:spacing w:line="307" w:lineRule="auto" w:after="120"/>
        <w:ind w:firstLine="403"/>
        <w:jc w:val="both"/>
      </w:pPr>
      <w:r>
        <w:rPr>
          <w:b w:val="0"/>
        </w:rPr>
        <w:t>Theo định hướng này, BATS-AgriGuard được nghiên cứu như một hệ thống tích hợp giữa chuẩn hóa dữ liệu sự kiện, kiểm tra tính nhất quán nguồn gốc, bảo toàn bằng chứng và truy xuất theo vai trò. Blockchain là một thành phần hỗ trợ kiểm toán dữ liệu sau commitment; giá trị nghiên cứu cốt lõi nằm ở các quy tắc và phương pháp kiểm tra dữ liệu trước khi tạo bằng chứng bất biến.</w:t>
      </w:r>
    </w:p>
    <w:sectPr w:rsidR="00FC693F" w:rsidRPr="0006063C" w:rsidSect="00034616">
      <w:footerReference w:type="default" r:id="rId11"/>
      <w:pgSz w:w="12240" w:h="15840"/>
      <w:pgMar w:top="1152" w:right="1080" w:bottom="1080"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BATS-AgriGuard | Thuyết minh công trình nghiên cứu khoa học sinh viên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Times New Roman"/>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300" w:lineRule="auto"/>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