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CÔNG THỨC MASS BALANCE CHUẨN HÓA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Phạm vi áp dụng: kiểm tra tính nhất quán nội bộ cho một cơ sở/tác nhân, một claim provenance, một loại vật liệu và một cửa sổ thời gian xác định. Công thức không phải cơ chế cấp chứng nhận.</w:t>
      </w:r>
    </w:p>
    <w:p>
      <w:pPr>
        <w:pStyle w:val="Heading1"/>
      </w:pPr>
      <w:r>
        <w:t>1. Điều kiện cân bằng khối lượng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Một đầu ra chỉ được chấp nhận khi không vượt quá lượng đầu vào có provenance hợp lệ, đã điều chỉnh theo tỷ lệ thu hồi và dung sai:</w:t>
      </w:r>
    </w:p>
    <w:p>
      <w:pPr>
        <w:spacing w:after="160"/>
        <w:jc w:val="center"/>
      </w:pPr>
      <m:oMath>
        <m:sSub>
          <m:sSubPr/>
          <m:e>
            <m:r>
              <m:rPr>
                <w:rFonts w:ascii="Cambria Math" w:hAnsi="Cambria Math"/>
              </m:rPr>
              <m:t>M</m:t>
            </m:r>
          </m:e>
          <m:sub>
            <m:r>
              <m:rPr>
                <w:rFonts w:ascii="Cambria Math" w:hAnsi="Cambria Math"/>
              </m:rPr>
              <m:t>out</m:t>
            </m:r>
          </m:sub>
        </m:sSub>
        <m:r>
          <m:rPr>
            <w:rFonts w:ascii="Cambria Math" w:hAnsi="Cambria Math"/>
          </m:rPr>
          <m:t>(f, c, k, W)  ≤  </m:t>
        </m:r>
        <m:r>
          <m:rPr>
            <w:rFonts w:ascii="Cambria Math" w:hAnsi="Cambria Math"/>
          </m:rPr>
          <m:t>ρ</m:t>
        </m:r>
        <m:r>
          <m:rPr>
            <w:rFonts w:ascii="Cambria Math" w:hAnsi="Cambria Math"/>
          </m:rPr>
          <m:t> · [</m:t>
        </m:r>
        <m:sSub>
          <m:sSubPr/>
          <m:e>
            <m:r>
              <m:rPr>
                <w:rFonts w:ascii="Cambria Math" w:hAnsi="Cambria Math"/>
              </m:rPr>
              <m:t>O</m:t>
            </m:r>
          </m:e>
          <m:sub>
            <m:r>
              <m:rPr>
                <w:rFonts w:ascii="Cambria Math" w:hAnsi="Cambria Math"/>
              </m:rPr>
              <m:t>open</m:t>
            </m:r>
          </m:sub>
        </m:sSub>
        <m:r>
          <m:rPr>
            <w:rFonts w:ascii="Cambria Math" w:hAnsi="Cambria Math"/>
          </m:rPr>
          <m:t>(f, c, k, W) + </m:t>
        </m:r>
        <m:sSub>
          <m:sSubPr/>
          <m:e>
            <m:r>
              <m:rPr>
                <w:rFonts w:ascii="Cambria Math" w:hAnsi="Cambria Math"/>
              </m:rPr>
              <m:t>M</m:t>
            </m:r>
          </m:e>
          <m:sub>
            <m:r>
              <m:rPr>
                <w:rFonts w:ascii="Cambria Math" w:hAnsi="Cambria Math"/>
              </m:rPr>
              <m:t>in</m:t>
            </m:r>
          </m:sub>
        </m:sSub>
        <m:r>
          <m:rPr>
            <w:rFonts w:ascii="Cambria Math" w:hAnsi="Cambria Math"/>
          </m:rPr>
          <m:t>(f, c, k, W)] · (1 + </m:t>
        </m:r>
        <m:sSub>
          <m:sSubPr/>
          <m:e>
            <m:r>
              <m:rPr>
                <w:rFonts w:ascii="Cambria Math" w:hAnsi="Cambria Math"/>
              </m:rPr>
              <m:t>ε</m:t>
            </m:r>
          </m:e>
          <m:sub>
            <m:r>
              <m:rPr>
                <w:rFonts w:ascii="Cambria Math" w:hAnsi="Cambria Math"/>
              </m:rPr>
              <m:t>rel</m:t>
            </m:r>
          </m:sub>
        </m:sSub>
        <m:r>
          <m:rPr>
            <w:rFonts w:ascii="Cambria Math" w:hAnsi="Cambria Math"/>
          </m:rPr>
          <m:t>) + </m:t>
        </m:r>
        <m:sSub>
          <m:sSubPr/>
          <m:e>
            <m:r>
              <m:rPr>
                <w:rFonts w:ascii="Cambria Math" w:hAnsi="Cambria Math"/>
              </m:rPr>
              <m:t>ε</m:t>
            </m:r>
          </m:e>
          <m:sub>
            <m:r>
              <m:rPr>
                <w:rFonts w:ascii="Cambria Math" w:hAnsi="Cambria Math"/>
              </m:rPr>
              <m:t>abs</m:t>
            </m:r>
          </m:sub>
        </m:sSub>
      </m:oMath>
    </w:p>
    <w:p>
      <w:pPr>
        <w:pStyle w:val="Heading1"/>
      </w:pPr>
      <w:r>
        <w:t>2. Hàm phát hiện bất thường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Gọi vế phải của bất đẳng thức ở Mục 1 là B(f, c, k, W), tức ngưỡng đầu ra tối đa được chấp nhận. Đặt δₘ = 1 khi điều kiện cân bằng bị vi phạm; ngược lại δₘ = 0:</w:t>
      </w:r>
    </w:p>
    <w:p>
      <w:pPr>
        <w:spacing w:after="160"/>
        <w:jc w:val="center"/>
      </w:pPr>
      <m:oMath>
        <m:sSub>
          <m:sSubPr/>
          <m:e>
            <m:r>
              <m:rPr>
                <w:rFonts w:ascii="Cambria Math" w:hAnsi="Cambria Math"/>
              </m:rPr>
              <m:t>δ</m:t>
            </m:r>
          </m:e>
          <m:sub>
            <m:r>
              <m:rPr>
                <w:rFonts w:ascii="Cambria Math" w:hAnsi="Cambria Math"/>
              </m:rPr>
              <m:t>M</m:t>
            </m:r>
          </m:sub>
        </m:sSub>
        <m:r>
          <m:rPr>
            <w:rFonts w:ascii="Cambria Math" w:hAnsi="Cambria Math"/>
          </m:rPr>
          <m:t>(f, c, k, W) = 𝟙{ </m:t>
        </m:r>
        <m:sSub>
          <m:sSubPr/>
          <m:e>
            <m:r>
              <m:rPr>
                <w:rFonts w:ascii="Cambria Math" w:hAnsi="Cambria Math"/>
              </m:rPr>
              <m:t>M</m:t>
            </m:r>
          </m:e>
          <m:sub>
            <m:r>
              <m:rPr>
                <w:rFonts w:ascii="Cambria Math" w:hAnsi="Cambria Math"/>
              </m:rPr>
              <m:t>out</m:t>
            </m:r>
          </m:sub>
        </m:sSub>
        <m:r>
          <m:rPr>
            <w:rFonts w:ascii="Cambria Math" w:hAnsi="Cambria Math"/>
          </m:rPr>
          <m:t>(f, c, k, W) &gt; B(f, c, k, W) }</m:t>
        </m:r>
      </m:oMath>
    </w:p>
    <w:p>
      <w:pPr>
        <w:pStyle w:val="Heading1"/>
      </w:pPr>
      <w:r>
        <w:t>3. Ký hiệu và đơn vị</w:t>
      </w:r>
    </w:p>
    <w:tbl>
      <w:tblPr>
        <w:tblStyle w:val="TableGrid"/>
        <w:tblW w:type="dxa" w:w="9060"/>
        <w:jc w:val="center"/>
        <w:tblLook w:firstColumn="1" w:firstRow="1" w:lastColumn="0" w:lastRow="0" w:noHBand="0" w:noVBand="1" w:val="04A0"/>
        <w:tblLayout w:type="fixed"/>
      </w:tblPr>
      <w:tblGrid>
        <w:gridCol w:w="2600"/>
        <w:gridCol w:w="6460"/>
      </w:tblGrid>
      <w:tr>
        <w:tc>
          <w:tcPr>
            <w:tcW w:type="dxa" w:w="2600"/>
            <w:shd w:fill="E8EE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Ký hiệu</w:t>
            </w:r>
          </w:p>
        </w:tc>
        <w:tc>
          <w:tcPr>
            <w:tcW w:type="dxa" w:w="6460"/>
            <w:shd w:fill="E8EE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Ý nghĩa chuẩn hóa</w:t>
            </w:r>
          </w:p>
        </w:tc>
      </w:tr>
      <w:tr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</w:t>
            </w:r>
          </w:p>
        </w:tc>
        <w:tc>
          <w:tcPr>
            <w:tcW w:type="dxa" w:w="64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sở hoặc tác nhân thực hiện công đoạn.</w:t>
            </w:r>
          </w:p>
        </w:tc>
      </w:tr>
      <w:tr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</w:t>
            </w:r>
          </w:p>
        </w:tc>
        <w:tc>
          <w:tcPr>
            <w:tcW w:type="dxa" w:w="64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Claim provenance hoặc mã số vùng trồng được kiểm tra.</w:t>
            </w:r>
          </w:p>
        </w:tc>
      </w:tr>
      <w:tr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</w:t>
            </w:r>
          </w:p>
        </w:tc>
        <w:tc>
          <w:tcPr>
            <w:tcW w:type="dxa" w:w="64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vật liệu/sản phẩm và đơn vị quy đổi đã chuẩn hóa.</w:t>
            </w:r>
          </w:p>
        </w:tc>
      </w:tr>
      <w:tr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</w:t>
            </w:r>
          </w:p>
        </w:tc>
        <w:tc>
          <w:tcPr>
            <w:tcW w:type="dxa" w:w="64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Cửa sổ kế toán/thời gian kiểm tra; phải được công bố trước.</w:t>
            </w:r>
          </w:p>
        </w:tc>
      </w:tr>
      <w:tr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M_in, M_out</w:t>
            </w:r>
          </w:p>
        </w:tc>
        <w:tc>
          <w:tcPr>
            <w:tcW w:type="dxa" w:w="64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khối lượng đầu vào/đầu ra hợp lệ trong cùng (f, c, k, W), cùng đơn vị khối lượng.</w:t>
            </w:r>
          </w:p>
        </w:tc>
      </w:tr>
      <w:tr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O_open</w:t>
            </w:r>
          </w:p>
        </w:tc>
        <w:tc>
          <w:tcPr>
            <w:tcW w:type="dxa" w:w="64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kho đầu kỳ đã khai báo và đã được đối chiếu trong cùng phạm vi.</w:t>
            </w:r>
          </w:p>
        </w:tc>
      </w:tr>
      <w:tr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ρ</w:t>
            </w:r>
          </w:p>
        </w:tc>
        <w:tc>
          <w:tcPr>
            <w:tcW w:type="dxa" w:w="64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thu hồi hoặc tỷ lệ chuyển đổi từ đầu vào sang đầu ra; 0 &lt; ρ ≤ 1.</w:t>
            </w:r>
          </w:p>
        </w:tc>
      </w:tr>
      <w:tr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ε_rel</w:t>
            </w:r>
          </w:p>
        </w:tc>
        <w:tc>
          <w:tcPr>
            <w:tcW w:type="dxa" w:w="64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Dung sai tương đối, không có đơn vị; ví dụ 0,05 tương ứng 5%.</w:t>
            </w:r>
          </w:p>
        </w:tc>
      </w:tr>
      <w:tr>
        <w:tc>
          <w:tcPr>
            <w:tcW w:type="dxa" w:w="26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ε_abs</w:t>
            </w:r>
          </w:p>
        </w:tc>
        <w:tc>
          <w:tcPr>
            <w:tcW w:type="dxa" w:w="64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Dung sai tuyệt đối, có cùng đơn vị với M_in, M_out và O_open.</w:t>
            </w:r>
          </w:p>
        </w:tc>
      </w:tr>
    </w:tbl>
    <w:p>
      <w:pPr>
        <w:pStyle w:val="Heading1"/>
      </w:pPr>
      <w:r>
        <w:t>4. Quy ước triển khai v0.2</w:t>
      </w:r>
    </w:p>
    <w:p>
      <w:pPr>
        <w:pStyle w:val="ListBullet"/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Chỉ cộng M_in từ các sự kiện đầu vào đã PASS hoặc đã được REVIEW phê duyệt theo policy; không dùng đầu vào bị BLOCK.</w:t>
      </w:r>
    </w:p>
    <w:p>
      <w:pPr>
        <w:pStyle w:val="ListBullet"/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Không cộng trực tiếp dữ liệu khác đơn vị. Chỉ tổng hợp sau khi chuyển đổi đơn vị theo hệ số có version, nguồn và thời điểm hiệu lực.</w:t>
      </w:r>
    </w:p>
    <w:p>
      <w:pPr>
        <w:pStyle w:val="ListBullet"/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Nếu thiếu hoặc chưa đối chiếu được O_open, kết quả nên trả về REVIEW thay vì BLOCK tự động.</w:t>
      </w:r>
    </w:p>
    <w:p>
      <w:pPr>
        <w:pStyle w:val="ListBullet"/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Closing inventory, split/merge batch, late-arriving event và điều chỉnh cân chưa được tự động suy diễn; phải ghi nhận là giới hạn phạm vi prototype.</w:t>
      </w:r>
    </w:p>
    <w:p>
      <w:pPr>
        <w:spacing w:after="60" w:line="259" w:lineRule="auto"/>
      </w:pPr>
      <w:r>
        <w:rPr>
          <w:rFonts w:ascii="Times New Roman" w:hAnsi="Times New Roman" w:eastAsia="Times New Roman"/>
          <w:b w:val="0"/>
          <w:i/>
          <w:sz w:val="22"/>
        </w:rPr>
        <w:t>Diễn giải: vi phạm Mass Balance là dấu hiệu bất thường cần hậu kiểm; không tự động chứng minh gian lận.</w:t>
      </w:r>
    </w:p>
    <w:sectPr w:rsidR="00FC693F" w:rsidRPr="0006063C" w:rsidSect="00034616">
      <w:pgSz w:w="11906" w:h="16838"/>
      <w:pgMar w:top="879" w:right="1134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