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8"/>
          <w:szCs w:val="48"/>
          <w:rtl w:val="0"/>
        </w:rPr>
        <w:t xml:space="preserve">Лекция от 15.09.2020</w:t>
        <w:br w:type="textWrapping"/>
      </w:r>
      <w:r w:rsidDel="00000000" w:rsidR="00000000" w:rsidRPr="00000000">
        <w:rPr>
          <w:rtl w:val="0"/>
        </w:rPr>
        <w:t xml:space="preserve">Растровые изображение это изображения формата jpeg их особенность это качественные изображения, весят много, около 20 мб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png формат фото которое является обработанным, есть прозрачный фон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gif формат, ну это понятно что такое, может быть как png так и jpeg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&lt;img&gt; тэг для картинок, у него нет закрывающего, нужно два атрибута src,alt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alt пишем текст, чтобы если не загрузится картинок там был текст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второе обозначение alt оптимизация поискового процесса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третье обозначение alt будет ругаться validator,и для помощи инвалидам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height высота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width ширина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векторная графика при увелечение не изменяется качеств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Задание на пару 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Лекиция от 19.09.2020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неупорядоченный список это тэг &lt;ul&gt;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тэг &lt;li&gt; внутри &lt;ul&gt; для конкретезации списка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тэг упорядоченный список &lt;ol&gt;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есть понятие вложенный список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пример один из списков дел приготовить еду, вложенный список это список того что нужно приготовить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Все элементы ol ul li являются блочными тэгами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тэг dl список с данными(список определений)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dt тэг без отступа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dd тэг с отступом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оба пишутся внутри dl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фреймы это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тэг iframe ссылка на чужой сайт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работает с атрибутом src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можно использовать width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атрибут name это имя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тэг &lt;br&gt; это тэг enter, одинарный тэг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Работа с формами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тэг &lt;form&gt; блочный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нужны атрибуты action для сервера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method для передачи данных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методе пишем get/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 это способ передачи, можно передать максимум 256 символов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input одиночный тэг без закрывашки позволяет вбить текст на сайт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post метод передачи данных для отправки формы обратной связи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данные передаются защищено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нужен атрибут type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type=’text’ для текста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type=’’reset’ очищает форму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type=”button” простая кнопка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type=’submit’ устанавливает кнопку отправить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type=’password’ пароль для секретного когда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type=’date’ дата доставки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type=’radio’ выбор галочками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тэг label появляется радио кнопочка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атрибут value изменяет кнопку для отправки формы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триада это когда работают вместе ява скрипт, хтмл, сисс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