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</w:t>
      </w:r>
      <w:r>
        <w:t xml:space="preserve"> </w:t>
      </w:r>
      <w:r>
        <w:t xml:space="preserve">в современных системах с открытым кодом на базе ОС Linux.</w:t>
      </w:r>
      <w:r>
        <w:rPr>
          <w:rStyle w:val="FootnoteReference"/>
        </w:rPr>
        <w:footnoteReference w:id="20"/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(использую учётную запись администратора): useradd guest (рис. 1)</w:t>
      </w:r>
    </w:p>
    <w:p>
      <w:pPr>
        <w:pStyle w:val="CaptionedFigure"/>
      </w:pPr>
      <w:bookmarkStart w:id="25" w:name="fig:001"/>
      <w:r>
        <w:drawing>
          <wp:inline>
            <wp:extent cx="5334000" cy="662424"/>
            <wp:effectExtent b="0" l="0" r="0" t="0"/>
            <wp:docPr descr="Figure 1: Создание учётной записи пользователя guest" title="" id="23" name="Picture"/>
            <a:graphic>
              <a:graphicData uri="http://schemas.openxmlformats.org/drawingml/2006/picture">
                <pic:pic>
                  <pic:nvPicPr>
                    <pic:cNvPr descr="screen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2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Создание учётной записи пользователя guest</w:t>
      </w:r>
    </w:p>
    <w:p>
      <w:pPr>
        <w:pStyle w:val="BodyText"/>
      </w:pPr>
      <w:r>
        <w:t xml:space="preserve">Далее задаю пароль для пользователя guest (использую учётную запись администратора):</w:t>
      </w:r>
      <w:r>
        <w:t xml:space="preserve"> </w:t>
      </w:r>
      <w:r>
        <w:t xml:space="preserve">passwd guest.(рис. 2)</w:t>
      </w:r>
    </w:p>
    <w:p>
      <w:pPr>
        <w:pStyle w:val="CaptionedFigure"/>
      </w:pPr>
      <w:bookmarkStart w:id="29" w:name="fig:002"/>
      <w:r>
        <w:drawing>
          <wp:inline>
            <wp:extent cx="5334000" cy="1037393"/>
            <wp:effectExtent b="0" l="0" r="0" t="0"/>
            <wp:docPr descr="Figure 2: Создание пароля для учётной записи пользователя guest" title="" id="27" name="Picture"/>
            <a:graphic>
              <a:graphicData uri="http://schemas.openxmlformats.org/drawingml/2006/picture">
                <pic:pic>
                  <pic:nvPicPr>
                    <pic:cNvPr descr="screen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Создание пароля для учётной записи пользователя guest</w:t>
      </w:r>
    </w:p>
    <w:p>
      <w:pPr>
        <w:pStyle w:val="BodyText"/>
      </w:pPr>
      <w:r>
        <w:t xml:space="preserve">Входим в систему от имени пользователя guest и вводим пароль.(рис. 3)</w:t>
      </w:r>
    </w:p>
    <w:p>
      <w:pPr>
        <w:pStyle w:val="CaptionedFigure"/>
      </w:pPr>
      <w:bookmarkStart w:id="33" w:name="fig:003"/>
      <w:r>
        <w:drawing>
          <wp:inline>
            <wp:extent cx="5334000" cy="4242661"/>
            <wp:effectExtent b="0" l="0" r="0" t="0"/>
            <wp:docPr descr="Figure 3: Вход в систему" title="" id="31" name="Picture"/>
            <a:graphic>
              <a:graphicData uri="http://schemas.openxmlformats.org/drawingml/2006/picture">
                <pic:pic>
                  <pic:nvPicPr>
                    <pic:cNvPr descr="screen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Вход в систему</w:t>
      </w:r>
    </w:p>
    <w:p>
      <w:pPr>
        <w:pStyle w:val="BodyText"/>
      </w:pPr>
      <w:r>
        <w:t xml:space="preserve">Определяем директорию, в которой находимся, командой pwd.</w:t>
      </w:r>
      <w:r>
        <w:t xml:space="preserve"> </w:t>
      </w:r>
      <w:r>
        <w:t xml:space="preserve">Сравниваем её с приглашением командной строки. Она является домашней директорией.(рис. 4)</w:t>
      </w:r>
      <w:r>
        <w:t xml:space="preserve"> </w:t>
      </w:r>
      <w:r>
        <w:t xml:space="preserve">И уточняем имя пользователя командой whoami.</w:t>
      </w:r>
    </w:p>
    <w:p>
      <w:pPr>
        <w:pStyle w:val="CaptionedFigure"/>
      </w:pPr>
      <w:bookmarkStart w:id="37" w:name="fig:004"/>
      <w:r>
        <w:drawing>
          <wp:inline>
            <wp:extent cx="5334000" cy="1580786"/>
            <wp:effectExtent b="0" l="0" r="0" t="0"/>
            <wp:docPr descr="Figure 4: Определяем директорию и имя пользователя" title="" id="35" name="Picture"/>
            <a:graphic>
              <a:graphicData uri="http://schemas.openxmlformats.org/drawingml/2006/picture">
                <pic:pic>
                  <pic:nvPicPr>
                    <pic:cNvPr descr="screen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0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Определяем директорию и имя пользователя</w:t>
      </w:r>
    </w:p>
    <w:p>
      <w:pPr>
        <w:pStyle w:val="BodyText"/>
      </w:pPr>
      <w:r>
        <w:t xml:space="preserve">Уточняем имя пользователя, группу, а также группы, куда входит пользователь, командой id. Выведенные значения uid, gid и др. запоминаем.</w:t>
      </w:r>
      <w:r>
        <w:t xml:space="preserve"> </w:t>
      </w:r>
      <w:r>
        <w:t xml:space="preserve">Сравниваем вывод id с выводом команды groups.(рис. 5).</w:t>
      </w:r>
    </w:p>
    <w:p>
      <w:pPr>
        <w:pStyle w:val="CaptionedFigure"/>
      </w:pPr>
      <w:bookmarkStart w:id="41" w:name="fig:005"/>
      <w:r>
        <w:drawing>
          <wp:inline>
            <wp:extent cx="5334000" cy="613103"/>
            <wp:effectExtent b="0" l="0" r="0" t="0"/>
            <wp:docPr descr="Figure 5: Уточняем имя пользователя командой id" title="" id="39" name="Picture"/>
            <a:graphic>
              <a:graphicData uri="http://schemas.openxmlformats.org/drawingml/2006/picture">
                <pic:pic>
                  <pic:nvPicPr>
                    <pic:cNvPr descr="screen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Уточняем имя пользователя командой id</w:t>
      </w:r>
    </w:p>
    <w:p>
      <w:pPr>
        <w:pStyle w:val="BodyText"/>
      </w:pPr>
      <w:r>
        <w:t xml:space="preserve">Сравниваем полученную информацию об имени пользователя с данными, выводимыми в приглашении командной строки.</w:t>
      </w:r>
    </w:p>
    <w:p>
      <w:pPr>
        <w:pStyle w:val="BodyText"/>
      </w:pPr>
      <w:r>
        <w:t xml:space="preserve">Смотрим файл/etc/passwd командой cat /etc/passwd (рис. 6) и ищем в нём свою учётную запись (рис. 7).</w:t>
      </w:r>
      <w:r>
        <w:t xml:space="preserve"> </w:t>
      </w:r>
      <w:r>
        <w:t xml:space="preserve">Определяем uid пользователя. Определяем gid пользователя. Сравниваем найденные значения с полученными в предыдущих пунктах.(рис. 8)</w:t>
      </w:r>
    </w:p>
    <w:p>
      <w:pPr>
        <w:pStyle w:val="CaptionedFigure"/>
      </w:pPr>
      <w:bookmarkStart w:id="45" w:name="fig:006"/>
      <w:r>
        <w:drawing>
          <wp:inline>
            <wp:extent cx="5334000" cy="2565400"/>
            <wp:effectExtent b="0" l="0" r="0" t="0"/>
            <wp:docPr descr="Figure 6: Смотрим файл/etc/passwd" title="" id="43" name="Picture"/>
            <a:graphic>
              <a:graphicData uri="http://schemas.openxmlformats.org/drawingml/2006/picture">
                <pic:pic>
                  <pic:nvPicPr>
                    <pic:cNvPr descr="screen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Смотрим файл/etc/passwd</w:t>
      </w:r>
    </w:p>
    <w:p>
      <w:pPr>
        <w:pStyle w:val="CaptionedFigure"/>
      </w:pPr>
      <w:bookmarkStart w:id="49" w:name="fig:007"/>
      <w:r>
        <w:drawing>
          <wp:inline>
            <wp:extent cx="5334000" cy="2562577"/>
            <wp:effectExtent b="0" l="0" r="0" t="0"/>
            <wp:docPr descr="Figure 7: Смотрим файл/etc/passwd" title="" id="47" name="Picture"/>
            <a:graphic>
              <a:graphicData uri="http://schemas.openxmlformats.org/drawingml/2006/picture">
                <pic:pic>
                  <pic:nvPicPr>
                    <pic:cNvPr descr="screen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Смотрим файл/etc/passwd</w:t>
      </w:r>
    </w:p>
    <w:p>
      <w:pPr>
        <w:pStyle w:val="CaptionedFigure"/>
      </w:pPr>
      <w:bookmarkStart w:id="53" w:name="fig:008"/>
      <w:r>
        <w:drawing>
          <wp:inline>
            <wp:extent cx="5334000" cy="583566"/>
            <wp:effectExtent b="0" l="0" r="0" t="0"/>
            <wp:docPr descr="Figure 8: Определяем uid пользователя." title="" id="51" name="Picture"/>
            <a:graphic>
              <a:graphicData uri="http://schemas.openxmlformats.org/drawingml/2006/picture">
                <pic:pic>
                  <pic:nvPicPr>
                    <pic:cNvPr descr="screen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8: Определяем uid пользователя.</w:t>
      </w:r>
    </w:p>
    <w:p>
      <w:pPr>
        <w:pStyle w:val="BodyText"/>
      </w:pPr>
      <w:r>
        <w:t xml:space="preserve">Определяем существующие в системе директории командой ls -l /home/ (рис. 9).</w:t>
      </w:r>
      <w:r>
        <w:t xml:space="preserve"> </w:t>
      </w:r>
      <w:r>
        <w:t xml:space="preserve">Проверяем,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/home(рис. 10).</w:t>
      </w:r>
    </w:p>
    <w:p>
      <w:pPr>
        <w:pStyle w:val="CaptionedFigure"/>
      </w:pPr>
      <w:bookmarkStart w:id="57" w:name="fig:009"/>
      <w:r>
        <w:drawing>
          <wp:inline>
            <wp:extent cx="5334000" cy="837711"/>
            <wp:effectExtent b="0" l="0" r="0" t="0"/>
            <wp:docPr descr="Figure 9: Определяем существующие в системе директории" title="" id="55" name="Picture"/>
            <a:graphic>
              <a:graphicData uri="http://schemas.openxmlformats.org/drawingml/2006/picture">
                <pic:pic>
                  <pic:nvPicPr>
                    <pic:cNvPr descr="screen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9: Определяем существующие в системе директории</w:t>
      </w:r>
    </w:p>
    <w:p>
      <w:pPr>
        <w:pStyle w:val="CaptionedFigure"/>
      </w:pPr>
      <w:bookmarkStart w:id="61" w:name="fig:010"/>
      <w:r>
        <w:drawing>
          <wp:inline>
            <wp:extent cx="5334000" cy="666750"/>
            <wp:effectExtent b="0" l="0" r="0" t="0"/>
            <wp:docPr descr="Figure 10: Расширенные атрибуты установлены на поддиректориях" title="" id="59" name="Picture"/>
            <a:graphic>
              <a:graphicData uri="http://schemas.openxmlformats.org/drawingml/2006/picture">
                <pic:pic>
                  <pic:nvPicPr>
                    <pic:cNvPr descr="screen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10: Расширенные атрибуты установлены на поддиректориях</w:t>
      </w:r>
    </w:p>
    <w:p>
      <w:pPr>
        <w:pStyle w:val="BodyText"/>
      </w:pPr>
      <w:r>
        <w:t xml:space="preserve">Создаем в домашней директории поддиректорию dir1 командой mkdir dir1(рис. 11).</w:t>
      </w:r>
      <w:r>
        <w:t xml:space="preserve"> </w:t>
      </w:r>
      <w:r>
        <w:t xml:space="preserve">Определяем командами ls -l и lsattr, какие права доступа и расширенные атрибуты были выставлены на директорию dir1.</w:t>
      </w:r>
    </w:p>
    <w:p>
      <w:pPr>
        <w:pStyle w:val="CaptionedFigure"/>
      </w:pPr>
      <w:bookmarkStart w:id="65" w:name="fig:011"/>
      <w:r>
        <w:drawing>
          <wp:inline>
            <wp:extent cx="5334000" cy="3796608"/>
            <wp:effectExtent b="0" l="0" r="0" t="0"/>
            <wp:docPr descr="Figure 11: Права доступа и расширенные атрибуты" title="" id="63" name="Picture"/>
            <a:graphic>
              <a:graphicData uri="http://schemas.openxmlformats.org/drawingml/2006/picture">
                <pic:pic>
                  <pic:nvPicPr>
                    <pic:cNvPr descr="screen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 11: Права доступа и расширенные атрибуты</w:t>
      </w:r>
    </w:p>
    <w:p>
      <w:pPr>
        <w:pStyle w:val="BodyText"/>
      </w:pPr>
      <w:r>
        <w:t xml:space="preserve">Далее снимаем с директории dir1 все атрибуты командой chmod 000 dir1</w:t>
      </w:r>
      <w:r>
        <w:t xml:space="preserve"> </w:t>
      </w:r>
      <w:r>
        <w:t xml:space="preserve">и проверяем с её помощью правильность выполнения команды ls -l(рис. 12).</w:t>
      </w:r>
    </w:p>
    <w:p>
      <w:pPr>
        <w:pStyle w:val="CaptionedFigure"/>
      </w:pPr>
      <w:bookmarkStart w:id="69" w:name="fig:012"/>
      <w:r>
        <w:drawing>
          <wp:inline>
            <wp:extent cx="5334000" cy="2494608"/>
            <wp:effectExtent b="0" l="0" r="0" t="0"/>
            <wp:docPr descr="Figure 12: Снимаем с директории dir1 все атрибуты" title="" id="67" name="Picture"/>
            <a:graphic>
              <a:graphicData uri="http://schemas.openxmlformats.org/drawingml/2006/picture">
                <pic:pic>
                  <pic:nvPicPr>
                    <pic:cNvPr descr="screen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 12: Снимаем с директории dir1 все атрибуты</w:t>
      </w:r>
    </w:p>
    <w:p>
      <w:pPr>
        <w:pStyle w:val="BodyText"/>
      </w:pPr>
      <w:r>
        <w:t xml:space="preserve">После пытаемся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(рис. 13).</w:t>
      </w:r>
      <w:r>
        <w:t xml:space="preserve"> </w:t>
      </w:r>
      <w:r>
        <w:t xml:space="preserve">Проверяем командой ls -l /home/guest/dir1 действительно ли файл file1 не находится внутри директории dir1.</w:t>
      </w:r>
    </w:p>
    <w:p>
      <w:pPr>
        <w:pStyle w:val="CaptionedFigure"/>
      </w:pPr>
      <w:bookmarkStart w:id="73" w:name="fig:013"/>
      <w:r>
        <w:drawing>
          <wp:inline>
            <wp:extent cx="5334000" cy="811320"/>
            <wp:effectExtent b="0" l="0" r="0" t="0"/>
            <wp:docPr descr="Figure 13: Попытка создать в директории dir1 файл file1" title="" id="71" name="Picture"/>
            <a:graphic>
              <a:graphicData uri="http://schemas.openxmlformats.org/drawingml/2006/picture">
                <pic:pic>
                  <pic:nvPicPr>
                    <pic:cNvPr descr="screen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 13: Попытка создать в директории dir1 файл file1</w:t>
      </w:r>
    </w:p>
    <w:p>
      <w:pPr>
        <w:pStyle w:val="BodyText"/>
      </w:pPr>
      <w:r>
        <w:t xml:space="preserve">На следующем этапе заполняем таблицу «Установленные права и разрешённые действия», выполняя действия от имени владельца директории,</w:t>
      </w:r>
      <w:r>
        <w:t xml:space="preserve"> </w:t>
      </w:r>
      <w:r>
        <w:t xml:space="preserve">определив опытным путём, какие операции разрешены, а какие нет.</w:t>
      </w:r>
      <w:r>
        <w:t xml:space="preserve"> </w:t>
      </w:r>
      <w:r>
        <w:t xml:space="preserve">Если операция разрешена, заносим в таблицу знак «+», если не разрешена, знак «-».(рис. 14).</w:t>
      </w:r>
    </w:p>
    <w:p>
      <w:pPr>
        <w:pStyle w:val="CaptionedFigure"/>
      </w:pPr>
      <w:bookmarkStart w:id="77" w:name="fig:014"/>
      <w:r>
        <w:drawing>
          <wp:inline>
            <wp:extent cx="5334000" cy="2863515"/>
            <wp:effectExtent b="0" l="0" r="0" t="0"/>
            <wp:docPr descr="Figure 14: Команды для проверки" title="" id="75" name="Picture"/>
            <a:graphic>
              <a:graphicData uri="http://schemas.openxmlformats.org/drawingml/2006/picture">
                <pic:pic>
                  <pic:nvPicPr>
                    <pic:cNvPr descr="screen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 14: Команды для проверки</w:t>
      </w:r>
    </w:p>
    <w:p>
      <w:pPr>
        <w:pStyle w:val="BodyText"/>
      </w:pPr>
      <w:r>
        <w:t xml:space="preserve">На основании заполненной таблицы определяем минимально необходимые права для выполнения операций внутри директории dir1.</w:t>
      </w:r>
    </w:p>
    <w:bookmarkEnd w:id="78"/>
    <w:bookmarkStart w:id="87" w:name="таблица-1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Таблица 1</w:t>
      </w:r>
    </w:p>
    <w:p>
      <w:pPr>
        <w:pStyle w:val="CaptionedFigure"/>
      </w:pPr>
      <w:bookmarkStart w:id="82" w:name="fig:015"/>
      <w:r>
        <w:drawing>
          <wp:inline>
            <wp:extent cx="5334000" cy="3211870"/>
            <wp:effectExtent b="0" l="0" r="0" t="0"/>
            <wp:docPr descr="Figure 15: Таблица 1" title="" id="80" name="Picture"/>
            <a:graphic>
              <a:graphicData uri="http://schemas.openxmlformats.org/drawingml/2006/picture">
                <pic:pic>
                  <pic:nvPicPr>
                    <pic:cNvPr descr="screen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 15: Таблица 1</w:t>
      </w:r>
    </w:p>
    <w:p>
      <w:pPr>
        <w:pStyle w:val="CaptionedFigure"/>
      </w:pPr>
      <w:bookmarkStart w:id="86" w:name="fig:016"/>
      <w:r>
        <w:drawing>
          <wp:inline>
            <wp:extent cx="5334000" cy="1529947"/>
            <wp:effectExtent b="0" l="0" r="0" t="0"/>
            <wp:docPr descr="Figure 16: Таблица 1 продолжение" title="" id="84" name="Picture"/>
            <a:graphic>
              <a:graphicData uri="http://schemas.openxmlformats.org/drawingml/2006/picture">
                <pic:pic>
                  <pic:nvPicPr>
                    <pic:cNvPr descr="screen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 16: Таблица 1 продолжение</w:t>
      </w:r>
    </w:p>
    <w:bookmarkEnd w:id="87"/>
    <w:bookmarkStart w:id="92" w:name="таблица-2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Таблица 2</w:t>
      </w:r>
    </w:p>
    <w:p>
      <w:pPr>
        <w:pStyle w:val="CaptionedFigure"/>
      </w:pPr>
      <w:bookmarkStart w:id="91" w:name="fig:017"/>
      <w:r>
        <w:drawing>
          <wp:inline>
            <wp:extent cx="5334000" cy="2459766"/>
            <wp:effectExtent b="0" l="0" r="0" t="0"/>
            <wp:docPr descr="Figure 17: Таблица 2" title="" id="89" name="Picture"/>
            <a:graphic>
              <a:graphicData uri="http://schemas.openxmlformats.org/drawingml/2006/picture">
                <pic:pic>
                  <pic:nvPicPr>
                    <pic:cNvPr descr="screen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 17: Таблица 2</w:t>
      </w:r>
    </w:p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ОС Linux.</w:t>
      </w:r>
    </w:p>
    <w:bookmarkEnd w:id="93"/>
    <w:bookmarkStart w:id="9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Дискреционное разграничение прав в Linux. Основные атрибуты. / Кулябов Д. С., Королькова А. В., Геворкян М. Н. - Москва: - 7 с.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Руководство по оформлению Markdown.</w:t>
        </w:r>
      </w:hyperlink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Дискреционное разграничение прав в Linux. Основные атрибуты.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94" Target="https://esystem.rudn.ru/pluginfile.php/1651883/mod_resource/content/6/002-lab_discret_attr.pdf" TargetMode="External" /><Relationship Type="http://schemas.openxmlformats.org/officeDocument/2006/relationships/hyperlink" Id="rId95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s://esystem.rudn.ru/pluginfile.php/1651883/mod_resource/content/6/002-lab_discret_attr.pdf" TargetMode="External" /><Relationship Type="http://schemas.openxmlformats.org/officeDocument/2006/relationships/hyperlink" Id="rId95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Лукьянова Ирина Владимировна, НФИбд-02-19</dc:creator>
  <dc:language>ru-RU</dc:language>
  <cp:keywords/>
  <dcterms:created xsi:type="dcterms:W3CDTF">2022-09-17T16:32:52Z</dcterms:created>
  <dcterms:modified xsi:type="dcterms:W3CDTF">2022-09-17T16:32:52Z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