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Лукьянова</w:t>
      </w:r>
      <w:r>
        <w:t xml:space="preserve"> </w:t>
      </w:r>
      <w:r>
        <w:t xml:space="preserve">Ирина</w:t>
      </w:r>
      <w:r>
        <w:t xml:space="preserve"> </w:t>
      </w:r>
      <w:r>
        <w:t xml:space="preserve">Владимировна,</w:t>
      </w:r>
      <w:r>
        <w:t xml:space="preserve"> </w:t>
      </w:r>
      <w:r>
        <w:t xml:space="preserve">НФИбд-02-19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rPr>
          <w:bCs/>
          <w:b/>
        </w:rP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Apache.</w:t>
      </w:r>
      <w:r>
        <w:rPr>
          <w:rStyle w:val="FootnoteReference"/>
        </w:rPr>
        <w:footnoteReference w:id="20"/>
      </w:r>
    </w:p>
    <w:bookmarkEnd w:id="21"/>
    <w:bookmarkStart w:id="12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rPr>
          <w:bCs/>
          <w:b/>
        </w:rPr>
        <w:t xml:space="preserve">Выполнение лабораторной работы</w:t>
      </w:r>
    </w:p>
    <w:p>
      <w:pPr>
        <w:pStyle w:val="FirstParagraph"/>
      </w:pPr>
      <w:r>
        <w:t xml:space="preserve">От имени суперпользователя устанавливаем необходимые пакеты, задаем параметр ServerName и отключаем пакетный фильтр.(рис. 1)</w:t>
      </w:r>
    </w:p>
    <w:p>
      <w:pPr>
        <w:pStyle w:val="CaptionedFigure"/>
      </w:pPr>
      <w:bookmarkStart w:id="25" w:name="fig:001"/>
      <w:r>
        <w:drawing>
          <wp:inline>
            <wp:extent cx="5334000" cy="2260818"/>
            <wp:effectExtent b="0" l="0" r="0" t="0"/>
            <wp:docPr descr="Figure 1: Работа с пакетами и необходимыми параметрами" title="" id="23" name="Picture"/>
            <a:graphic>
              <a:graphicData uri="http://schemas.openxmlformats.org/drawingml/2006/picture">
                <pic:pic>
                  <pic:nvPicPr>
                    <pic:cNvPr descr="screen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0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Работа с пакетами и необходимыми параметрами</w:t>
      </w:r>
    </w:p>
    <w:p>
      <w:pPr>
        <w:pStyle w:val="BodyText"/>
      </w:pPr>
      <w:r>
        <w:t xml:space="preserve">Входим в систему с полученными учётными данными и смотрим, что SELinux работает в режиме enforcing политики targeted с помощью команд getenforce и sestatus.(рис. 2)</w:t>
      </w:r>
    </w:p>
    <w:p>
      <w:pPr>
        <w:pStyle w:val="CaptionedFigure"/>
      </w:pPr>
      <w:bookmarkStart w:id="29" w:name="fig:002"/>
      <w:r>
        <w:drawing>
          <wp:inline>
            <wp:extent cx="5334000" cy="3012626"/>
            <wp:effectExtent b="0" l="0" r="0" t="0"/>
            <wp:docPr descr="Figure 2: Команды getenforce и sestatus" title="" id="27" name="Picture"/>
            <a:graphic>
              <a:graphicData uri="http://schemas.openxmlformats.org/drawingml/2006/picture">
                <pic:pic>
                  <pic:nvPicPr>
                    <pic:cNvPr descr="screen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Команды getenforce и sestatus</w:t>
      </w:r>
    </w:p>
    <w:p>
      <w:pPr>
        <w:pStyle w:val="BodyText"/>
      </w:pPr>
      <w:r>
        <w:t xml:space="preserve">Обращаемся с помощью браузера к веб-серверу, запущенному на компьютере, и смотрим, что последний работает: (рис. 3)</w:t>
      </w:r>
    </w:p>
    <w:p>
      <w:pPr>
        <w:pStyle w:val="CaptionedFigure"/>
      </w:pPr>
      <w:bookmarkStart w:id="33" w:name="fig:003"/>
      <w:r>
        <w:drawing>
          <wp:inline>
            <wp:extent cx="5334000" cy="2567789"/>
            <wp:effectExtent b="0" l="0" r="0" t="0"/>
            <wp:docPr descr="Figure 3: Проверяем работу сервиса" title="" id="31" name="Picture"/>
            <a:graphic>
              <a:graphicData uri="http://schemas.openxmlformats.org/drawingml/2006/picture">
                <pic:pic>
                  <pic:nvPicPr>
                    <pic:cNvPr descr="screen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Проверяем работу сервиса</w:t>
      </w:r>
    </w:p>
    <w:p>
      <w:pPr>
        <w:pStyle w:val="BodyText"/>
      </w:pPr>
      <w:r>
        <w:t xml:space="preserve">Находим веб-сервер Apache в списке процессов, определяем его контекст безопасности:(рис. 4)</w:t>
      </w:r>
    </w:p>
    <w:p>
      <w:pPr>
        <w:pStyle w:val="CaptionedFigure"/>
      </w:pPr>
      <w:bookmarkStart w:id="37" w:name="fig:004"/>
      <w:r>
        <w:drawing>
          <wp:inline>
            <wp:extent cx="5334000" cy="1307401"/>
            <wp:effectExtent b="0" l="0" r="0" t="0"/>
            <wp:docPr descr="Figure 4: Команда ps auxZ | grep httpd" title="" id="35" name="Picture"/>
            <a:graphic>
              <a:graphicData uri="http://schemas.openxmlformats.org/drawingml/2006/picture">
                <pic:pic>
                  <pic:nvPicPr>
                    <pic:cNvPr descr="screen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7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Команда ps auxZ | grep httpd</w:t>
      </w:r>
    </w:p>
    <w:p>
      <w:pPr>
        <w:pStyle w:val="BodyText"/>
      </w:pPr>
      <w:r>
        <w:t xml:space="preserve">Смотрим текущее состояние переключателей SELinux для Apache. Обращаем внимание, что многие из них находятся в положении «off».(рис. 5)</w:t>
      </w:r>
    </w:p>
    <w:p>
      <w:pPr>
        <w:pStyle w:val="CaptionedFigure"/>
      </w:pPr>
      <w:bookmarkStart w:id="41" w:name="fig:005"/>
      <w:r>
        <w:drawing>
          <wp:inline>
            <wp:extent cx="5334000" cy="4433454"/>
            <wp:effectExtent b="0" l="0" r="0" t="0"/>
            <wp:docPr descr="Figure 5: Команда sestatus -bigrep httpd" title="" id="39" name="Picture"/>
            <a:graphic>
              <a:graphicData uri="http://schemas.openxmlformats.org/drawingml/2006/picture">
                <pic:pic>
                  <pic:nvPicPr>
                    <pic:cNvPr descr="screen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3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Команда sestatus -bigrep httpd</w:t>
      </w:r>
    </w:p>
    <w:p>
      <w:pPr>
        <w:pStyle w:val="BodyText"/>
      </w:pPr>
      <w:r>
        <w:t xml:space="preserve">Смотрим статистику по политике,также Определяем множество пользователей, ролей, типов.(рис. 6).</w:t>
      </w:r>
    </w:p>
    <w:p>
      <w:pPr>
        <w:pStyle w:val="BodyText"/>
      </w:pPr>
      <w:r>
        <w:t xml:space="preserve">Пользователей = 8, ролей = 14, типов = 4995</w:t>
      </w:r>
    </w:p>
    <w:p>
      <w:pPr>
        <w:pStyle w:val="CaptionedFigure"/>
      </w:pPr>
      <w:bookmarkStart w:id="45" w:name="fig:006"/>
      <w:r>
        <w:drawing>
          <wp:inline>
            <wp:extent cx="5334000" cy="4200960"/>
            <wp:effectExtent b="0" l="0" r="0" t="0"/>
            <wp:docPr descr="Figure 6: Команда seinfo" title="" id="43" name="Picture"/>
            <a:graphic>
              <a:graphicData uri="http://schemas.openxmlformats.org/drawingml/2006/picture">
                <pic:pic>
                  <pic:nvPicPr>
                    <pic:cNvPr descr="screen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0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Команда seinfo</w:t>
      </w:r>
    </w:p>
    <w:p>
      <w:pPr>
        <w:pStyle w:val="BodyText"/>
      </w:pPr>
      <w:r>
        <w:t xml:space="preserve">Определяем тип файлов и поддиректорий, находящихся в директории /var/www.(рис. 7).</w:t>
      </w:r>
    </w:p>
    <w:p>
      <w:pPr>
        <w:pStyle w:val="CaptionedFigure"/>
      </w:pPr>
      <w:bookmarkStart w:id="49" w:name="fig:007"/>
      <w:r>
        <w:drawing>
          <wp:inline>
            <wp:extent cx="5334000" cy="603630"/>
            <wp:effectExtent b="0" l="0" r="0" t="0"/>
            <wp:docPr descr="Figure 7: Команда ls -lZ /var/www" title="" id="47" name="Picture"/>
            <a:graphic>
              <a:graphicData uri="http://schemas.openxmlformats.org/drawingml/2006/picture">
                <pic:pic>
                  <pic:nvPicPr>
                    <pic:cNvPr descr="screen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Команда ls -lZ /var/www</w:t>
      </w:r>
    </w:p>
    <w:p>
      <w:pPr>
        <w:pStyle w:val="BodyText"/>
      </w:pPr>
      <w:r>
        <w:t xml:space="preserve">Определяем тип файлов, находящихся в директории /var/www/html (рис. 8)</w:t>
      </w:r>
    </w:p>
    <w:p>
      <w:pPr>
        <w:pStyle w:val="CaptionedFigure"/>
      </w:pPr>
      <w:bookmarkStart w:id="53" w:name="fig:008"/>
      <w:r>
        <w:drawing>
          <wp:inline>
            <wp:extent cx="5334000" cy="873868"/>
            <wp:effectExtent b="0" l="0" r="0" t="0"/>
            <wp:docPr descr="Figure 8: Команда ls -lZ /var/www/html" title="" id="51" name="Picture"/>
            <a:graphic>
              <a:graphicData uri="http://schemas.openxmlformats.org/drawingml/2006/picture">
                <pic:pic>
                  <pic:nvPicPr>
                    <pic:cNvPr descr="screen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3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Команда ls -lZ /var/www/html</w:t>
      </w:r>
    </w:p>
    <w:p>
      <w:pPr>
        <w:pStyle w:val="BodyText"/>
      </w:pPr>
      <w:r>
        <w:t xml:space="preserve">От имени суперпользователя создаем файл html-файл /var/www/html/test.html следующего содержания:(рис. 9)</w:t>
      </w:r>
    </w:p>
    <w:p>
      <w:pPr>
        <w:pStyle w:val="CaptionedFigure"/>
      </w:pPr>
      <w:bookmarkStart w:id="57" w:name="fig:009"/>
      <w:r>
        <w:drawing>
          <wp:inline>
            <wp:extent cx="4127500" cy="1295400"/>
            <wp:effectExtent b="0" l="0" r="0" t="0"/>
            <wp:docPr descr="Figure 9: Файл test.html" title="" id="55" name="Picture"/>
            <a:graphic>
              <a:graphicData uri="http://schemas.openxmlformats.org/drawingml/2006/picture">
                <pic:pic>
                  <pic:nvPicPr>
                    <pic:cNvPr descr="screen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9: Файл test.html</w:t>
      </w:r>
    </w:p>
    <w:p>
      <w:pPr>
        <w:pStyle w:val="BodyText"/>
      </w:pPr>
      <w:r>
        <w:t xml:space="preserve">Проверяем контекст созданного файла.(рис. 10)</w:t>
      </w:r>
    </w:p>
    <w:p>
      <w:pPr>
        <w:pStyle w:val="CaptionedFigure"/>
      </w:pPr>
      <w:bookmarkStart w:id="61" w:name="fig:010"/>
      <w:r>
        <w:drawing>
          <wp:inline>
            <wp:extent cx="5334000" cy="538728"/>
            <wp:effectExtent b="0" l="0" r="0" t="0"/>
            <wp:docPr descr="Figure 10: Выполняем проверку" title="" id="59" name="Picture"/>
            <a:graphic>
              <a:graphicData uri="http://schemas.openxmlformats.org/drawingml/2006/picture">
                <pic:pic>
                  <pic:nvPicPr>
                    <pic:cNvPr descr="screen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10: Выполняем проверку</w:t>
      </w:r>
    </w:p>
    <w:p>
      <w:pPr>
        <w:pStyle w:val="BodyText"/>
      </w:pPr>
      <w:r>
        <w:t xml:space="preserve">Обращаемся к файлу через веб-сервер, введя в браузере адрес http://127.0.0.1/test.html. Смотрим, что файл был успешно отображён.(рис. 11)</w:t>
      </w:r>
    </w:p>
    <w:p>
      <w:pPr>
        <w:pStyle w:val="CaptionedFigure"/>
      </w:pPr>
      <w:bookmarkStart w:id="65" w:name="fig:011"/>
      <w:r>
        <w:drawing>
          <wp:inline>
            <wp:extent cx="5334000" cy="1047274"/>
            <wp:effectExtent b="0" l="0" r="0" t="0"/>
            <wp:docPr descr="Figure 11: Обращаемся к файлу" title="" id="63" name="Picture"/>
            <a:graphic>
              <a:graphicData uri="http://schemas.openxmlformats.org/drawingml/2006/picture">
                <pic:pic>
                  <pic:nvPicPr>
                    <pic:cNvPr descr="screen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11: Обращаемся к файлу</w:t>
      </w:r>
    </w:p>
    <w:p>
      <w:pPr>
        <w:pStyle w:val="BodyText"/>
      </w:pPr>
      <w:r>
        <w:t xml:space="preserve">Изучаем справку man httpd_selinux, проверяем контекст файла командой ls -Z /var/www/html/test.html(рис. 12)</w:t>
      </w:r>
    </w:p>
    <w:p>
      <w:pPr>
        <w:pStyle w:val="CaptionedFigure"/>
      </w:pPr>
      <w:bookmarkStart w:id="69" w:name="fig:012"/>
      <w:r>
        <w:drawing>
          <wp:inline>
            <wp:extent cx="5334000" cy="365850"/>
            <wp:effectExtent b="0" l="0" r="0" t="0"/>
            <wp:docPr descr="Figure 12: Справка и проверка файла" title="" id="67" name="Picture"/>
            <a:graphic>
              <a:graphicData uri="http://schemas.openxmlformats.org/drawingml/2006/picture">
                <pic:pic>
                  <pic:nvPicPr>
                    <pic:cNvPr descr="screen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 12: Справка и проверка файла</w:t>
      </w:r>
    </w:p>
    <w:p>
      <w:pPr>
        <w:pStyle w:val="BodyText"/>
      </w:pPr>
      <w:r>
        <w:t xml:space="preserve">Меняем контекст файла /var/www/html/test.html с httpd_sys_content_t на samba_share_t:(рис. 13)</w:t>
      </w:r>
    </w:p>
    <w:p>
      <w:pPr>
        <w:pStyle w:val="CaptionedFigure"/>
      </w:pPr>
      <w:bookmarkStart w:id="73" w:name="fig:013"/>
      <w:r>
        <w:drawing>
          <wp:inline>
            <wp:extent cx="5334000" cy="445893"/>
            <wp:effectExtent b="0" l="0" r="0" t="0"/>
            <wp:docPr descr="Figure 13: Меняем контекст" title="" id="71" name="Picture"/>
            <a:graphic>
              <a:graphicData uri="http://schemas.openxmlformats.org/drawingml/2006/picture">
                <pic:pic>
                  <pic:nvPicPr>
                    <pic:cNvPr descr="screen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 13: Меняем контекст</w:t>
      </w:r>
    </w:p>
    <w:p>
      <w:pPr>
        <w:pStyle w:val="BodyText"/>
      </w:pPr>
      <w:r>
        <w:t xml:space="preserve">Пробуем ещё раз получить доступ к файлу через веб-сервер, введя в</w:t>
      </w:r>
      <w:r>
        <w:t xml:space="preserve"> </w:t>
      </w:r>
      <w:r>
        <w:t xml:space="preserve">браузере адрес http://127.0.0.1/test.html. Получаем сообщение об ошибке(рис. 14)</w:t>
      </w:r>
    </w:p>
    <w:p>
      <w:pPr>
        <w:pStyle w:val="CaptionedFigure"/>
      </w:pPr>
      <w:bookmarkStart w:id="77" w:name="fig:014"/>
      <w:r>
        <w:drawing>
          <wp:inline>
            <wp:extent cx="5334000" cy="2230319"/>
            <wp:effectExtent b="0" l="0" r="0" t="0"/>
            <wp:docPr descr="Figure 14: Сообщение об ошибке" title="" id="75" name="Picture"/>
            <a:graphic>
              <a:graphicData uri="http://schemas.openxmlformats.org/drawingml/2006/picture">
                <pic:pic>
                  <pic:nvPicPr>
                    <pic:cNvPr descr="screen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0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 14: Сообщение об ошибке</w:t>
      </w:r>
    </w:p>
    <w:p>
      <w:pPr>
        <w:pStyle w:val="BodyText"/>
      </w:pPr>
      <w:r>
        <w:t xml:space="preserve">Смотрим log-файлы веб-сервера Apache. Также смотрим системный лог-файл:(рис. 15), (рис. 16)</w:t>
      </w:r>
    </w:p>
    <w:p>
      <w:pPr>
        <w:pStyle w:val="CaptionedFigure"/>
      </w:pPr>
      <w:bookmarkStart w:id="81" w:name="fig:015"/>
      <w:r>
        <w:drawing>
          <wp:inline>
            <wp:extent cx="5334000" cy="2006551"/>
            <wp:effectExtent b="0" l="0" r="0" t="0"/>
            <wp:docPr descr="Figure 15: Просмотр лог файлов" title="" id="79" name="Picture"/>
            <a:graphic>
              <a:graphicData uri="http://schemas.openxmlformats.org/drawingml/2006/picture">
                <pic:pic>
                  <pic:nvPicPr>
                    <pic:cNvPr descr="screen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6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 15: Просмотр лог файлов</w:t>
      </w:r>
    </w:p>
    <w:p>
      <w:pPr>
        <w:pStyle w:val="CaptionedFigure"/>
      </w:pPr>
      <w:bookmarkStart w:id="85" w:name="fig:016"/>
      <w:r>
        <w:drawing>
          <wp:inline>
            <wp:extent cx="5334000" cy="1887648"/>
            <wp:effectExtent b="0" l="0" r="0" t="0"/>
            <wp:docPr descr="Figure 16: Просмотр лог файлов" title="" id="83" name="Picture"/>
            <a:graphic>
              <a:graphicData uri="http://schemas.openxmlformats.org/drawingml/2006/picture">
                <pic:pic>
                  <pic:nvPicPr>
                    <pic:cNvPr descr="screen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7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 16: Просмотр лог файлов</w:t>
      </w:r>
    </w:p>
    <w:p>
      <w:pPr>
        <w:pStyle w:val="BodyText"/>
      </w:pPr>
      <w:r>
        <w:t xml:space="preserve">Пробуем запустить веб-сервер Apache на прослушивание ТСР-порта 81 (рис. 17)</w:t>
      </w:r>
    </w:p>
    <w:p>
      <w:pPr>
        <w:pStyle w:val="CaptionedFigure"/>
      </w:pPr>
      <w:bookmarkStart w:id="89" w:name="fig:017"/>
      <w:r>
        <w:drawing>
          <wp:inline>
            <wp:extent cx="5334000" cy="3276000"/>
            <wp:effectExtent b="0" l="0" r="0" t="0"/>
            <wp:docPr descr="Figure 17: Запуск порта 81" title="" id="87" name="Picture"/>
            <a:graphic>
              <a:graphicData uri="http://schemas.openxmlformats.org/drawingml/2006/picture">
                <pic:pic>
                  <pic:nvPicPr>
                    <pic:cNvPr descr="screen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 17: Запуск порта 81</w:t>
      </w:r>
    </w:p>
    <w:p>
      <w:pPr>
        <w:pStyle w:val="BodyText"/>
      </w:pPr>
      <w:r>
        <w:t xml:space="preserve">Выполняем перезапуск веб-сервера Apache. Произошёл сбой? Нет(рис. 18)</w:t>
      </w:r>
    </w:p>
    <w:p>
      <w:pPr>
        <w:pStyle w:val="CaptionedFigure"/>
      </w:pPr>
      <w:bookmarkStart w:id="93" w:name="fig:018"/>
      <w:r>
        <w:drawing>
          <wp:inline>
            <wp:extent cx="5334000" cy="698777"/>
            <wp:effectExtent b="0" l="0" r="0" t="0"/>
            <wp:docPr descr="Figure 18: Проверка" title="" id="91" name="Picture"/>
            <a:graphic>
              <a:graphicData uri="http://schemas.openxmlformats.org/drawingml/2006/picture">
                <pic:pic>
                  <pic:nvPicPr>
                    <pic:cNvPr descr="screen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8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 18: Проверка</w:t>
      </w:r>
    </w:p>
    <w:p>
      <w:pPr>
        <w:pStyle w:val="BodyText"/>
      </w:pPr>
      <w:r>
        <w:t xml:space="preserve">Анализируем лог-файлы. (рис. 19), (рис. 20)</w:t>
      </w:r>
    </w:p>
    <w:p>
      <w:pPr>
        <w:pStyle w:val="CaptionedFigure"/>
      </w:pPr>
      <w:bookmarkStart w:id="97" w:name="fig:019"/>
      <w:r>
        <w:drawing>
          <wp:inline>
            <wp:extent cx="5334000" cy="1379272"/>
            <wp:effectExtent b="0" l="0" r="0" t="0"/>
            <wp:docPr descr="Figure 19: Работа с лог файлами" title="" id="95" name="Picture"/>
            <a:graphic>
              <a:graphicData uri="http://schemas.openxmlformats.org/drawingml/2006/picture">
                <pic:pic>
                  <pic:nvPicPr>
                    <pic:cNvPr descr="screen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 19: Работа с лог файлами</w:t>
      </w:r>
    </w:p>
    <w:p>
      <w:pPr>
        <w:pStyle w:val="CaptionedFigure"/>
      </w:pPr>
      <w:bookmarkStart w:id="101" w:name="fig:020"/>
      <w:r>
        <w:drawing>
          <wp:inline>
            <wp:extent cx="5334000" cy="2679200"/>
            <wp:effectExtent b="0" l="0" r="0" t="0"/>
            <wp:docPr descr="Figure 20: Проверка" title="" id="99" name="Picture"/>
            <a:graphic>
              <a:graphicData uri="http://schemas.openxmlformats.org/drawingml/2006/picture">
                <pic:pic>
                  <pic:nvPicPr>
                    <pic:cNvPr descr="screen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 20: Проверка</w:t>
      </w:r>
    </w:p>
    <w:p>
      <w:pPr>
        <w:pStyle w:val="BodyText"/>
      </w:pPr>
      <w:r>
        <w:t xml:space="preserve">Выполняем команду semanage port -a -t http_port_t -р tcp 81</w:t>
      </w:r>
      <w:r>
        <w:t xml:space="preserve"> </w:t>
      </w:r>
      <w:r>
        <w:t xml:space="preserve">После этого проверяем список портов (рис. 21)</w:t>
      </w:r>
    </w:p>
    <w:p>
      <w:pPr>
        <w:pStyle w:val="CaptionedFigure"/>
      </w:pPr>
      <w:bookmarkStart w:id="105" w:name="fig:021"/>
      <w:r>
        <w:drawing>
          <wp:inline>
            <wp:extent cx="5334000" cy="822760"/>
            <wp:effectExtent b="0" l="0" r="0" t="0"/>
            <wp:docPr descr="Figure 21: Проверяем список портов" title="" id="103" name="Picture"/>
            <a:graphic>
              <a:graphicData uri="http://schemas.openxmlformats.org/drawingml/2006/picture">
                <pic:pic>
                  <pic:nvPicPr>
                    <pic:cNvPr descr="screen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2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 21: Проверяем список портов</w:t>
      </w:r>
    </w:p>
    <w:p>
      <w:pPr>
        <w:pStyle w:val="BodyText"/>
      </w:pPr>
      <w:r>
        <w:t xml:space="preserve">Пробуем запустить веб-сервер Apache ещё раз и возвращаем контекст httpd_sys_cоntent__t к файлу /var/www/html/test.html(рис. 22)</w:t>
      </w:r>
    </w:p>
    <w:p>
      <w:pPr>
        <w:pStyle w:val="CaptionedFigure"/>
      </w:pPr>
      <w:bookmarkStart w:id="109" w:name="fig:022"/>
      <w:r>
        <w:drawing>
          <wp:inline>
            <wp:extent cx="5334000" cy="562011"/>
            <wp:effectExtent b="0" l="0" r="0" t="0"/>
            <wp:docPr descr="Figure 22: Запуск веб-сервера" title="" id="107" name="Picture"/>
            <a:graphic>
              <a:graphicData uri="http://schemas.openxmlformats.org/drawingml/2006/picture">
                <pic:pic>
                  <pic:nvPicPr>
                    <pic:cNvPr descr="screen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 22: Запуск веб-сервера</w:t>
      </w:r>
    </w:p>
    <w:p>
      <w:pPr>
        <w:pStyle w:val="BodyText"/>
      </w:pPr>
      <w:r>
        <w:t xml:space="preserve">Возвращаем контекст и получаем доступ к файлу через веб-сервер, введя в браузере адрес http://127.0.0.1:81/test.html.</w:t>
      </w:r>
      <w:r>
        <w:t xml:space="preserve"> </w:t>
      </w:r>
      <w:r>
        <w:t xml:space="preserve">Теперь увидим содержимое файла — слово «test». (рис. 23)</w:t>
      </w:r>
    </w:p>
    <w:p>
      <w:pPr>
        <w:pStyle w:val="CaptionedFigure"/>
      </w:pPr>
      <w:bookmarkStart w:id="113" w:name="fig:023"/>
      <w:r>
        <w:drawing>
          <wp:inline>
            <wp:extent cx="5334000" cy="1881673"/>
            <wp:effectExtent b="0" l="0" r="0" t="0"/>
            <wp:docPr descr="Figure 23: Доступ к файлу" title="" id="111" name="Picture"/>
            <a:graphic>
              <a:graphicData uri="http://schemas.openxmlformats.org/drawingml/2006/picture">
                <pic:pic>
                  <pic:nvPicPr>
                    <pic:cNvPr descr="screen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1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 23: Доступ к файлу</w:t>
      </w:r>
    </w:p>
    <w:p>
      <w:pPr>
        <w:pStyle w:val="BodyText"/>
      </w:pPr>
      <w:r>
        <w:t xml:space="preserve">Исправляем обратно конфигурационный файл apache, вернув Listen 80.(рис. 24)</w:t>
      </w:r>
    </w:p>
    <w:p>
      <w:pPr>
        <w:pStyle w:val="CaptionedFigure"/>
      </w:pPr>
      <w:bookmarkStart w:id="117" w:name="fig:024"/>
      <w:r>
        <w:drawing>
          <wp:inline>
            <wp:extent cx="5334000" cy="3688478"/>
            <wp:effectExtent b="0" l="0" r="0" t="0"/>
            <wp:docPr descr="Figure 24: Работа с конфигурацией файла" title="" id="115" name="Picture"/>
            <a:graphic>
              <a:graphicData uri="http://schemas.openxmlformats.org/drawingml/2006/picture">
                <pic:pic>
                  <pic:nvPicPr>
                    <pic:cNvPr descr="screen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8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 24: Работа с конфигурацией файла</w:t>
      </w:r>
    </w:p>
    <w:p>
      <w:pPr>
        <w:pStyle w:val="BodyText"/>
      </w:pPr>
      <w:r>
        <w:t xml:space="preserve">Пытаемся удалить привязку http_port_t к 81 порту: (рис. 25)</w:t>
      </w:r>
    </w:p>
    <w:p>
      <w:pPr>
        <w:pStyle w:val="CaptionedFigure"/>
      </w:pPr>
      <w:bookmarkStart w:id="121" w:name="fig:025"/>
      <w:r>
        <w:drawing>
          <wp:inline>
            <wp:extent cx="5334000" cy="680936"/>
            <wp:effectExtent b="0" l="0" r="0" t="0"/>
            <wp:docPr descr="Figure 25: Проверка" title="" id="119" name="Picture"/>
            <a:graphic>
              <a:graphicData uri="http://schemas.openxmlformats.org/drawingml/2006/picture">
                <pic:pic>
                  <pic:nvPicPr>
                    <pic:cNvPr descr="screen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 25: Проверка</w:t>
      </w:r>
    </w:p>
    <w:p>
      <w:pPr>
        <w:pStyle w:val="BodyText"/>
      </w:pPr>
      <w:r>
        <w:t xml:space="preserve">Удаляем файл /var/www/html/test.html:(рис. 26)</w:t>
      </w:r>
    </w:p>
    <w:p>
      <w:pPr>
        <w:pStyle w:val="CaptionedFigure"/>
      </w:pPr>
      <w:bookmarkStart w:id="125" w:name="fig:026"/>
      <w:r>
        <w:drawing>
          <wp:inline>
            <wp:extent cx="5334000" cy="1107056"/>
            <wp:effectExtent b="0" l="0" r="0" t="0"/>
            <wp:docPr descr="Figure 26: Удаление файла" title="" id="123" name="Picture"/>
            <a:graphic>
              <a:graphicData uri="http://schemas.openxmlformats.org/drawingml/2006/picture">
                <pic:pic>
                  <pic:nvPicPr>
                    <pic:cNvPr descr="screen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7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 26: Удаление файла</w:t>
      </w:r>
    </w:p>
    <w:bookmarkEnd w:id="126"/>
    <w:bookmarkStart w:id="12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развила навыки администрирования ОС Linux. Получила первое практическое знакомство с технологией SELinux. Проверила работу SELinx на практике совместно с веб-сервером Apache.</w:t>
      </w:r>
    </w:p>
    <w:bookmarkEnd w:id="127"/>
    <w:bookmarkStart w:id="130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hyperlink r:id="rId128">
        <w:r>
          <w:rPr>
            <w:rStyle w:val="Hyperlink"/>
          </w:rPr>
          <w:t xml:space="preserve">Мандатное разграничение прав в Linux. / Кулябов Д. С., Королькова А. В., Геворкян М. Н. - Москва: - 7 с.</w:t>
        </w:r>
      </w:hyperlink>
    </w:p>
    <w:p>
      <w:pPr>
        <w:numPr>
          <w:ilvl w:val="0"/>
          <w:numId w:val="1001"/>
        </w:numPr>
        <w:pStyle w:val="Compact"/>
      </w:pPr>
      <w:hyperlink r:id="rId129">
        <w:r>
          <w:rPr>
            <w:rStyle w:val="Hyperlink"/>
          </w:rPr>
          <w:t xml:space="preserve">Руководство по оформлению Markdown.</w:t>
        </w:r>
      </w:hyperlink>
    </w:p>
    <w:bookmarkEnd w:id="1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Мандатное разграничение прав в Linux.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hyperlink" Id="rId128" Target="https://esystem.rudn.ru/pluginfile.php/1651891/mod_resource/content/2/006-lab_selinux.pdf" TargetMode="External" /><Relationship Type="http://schemas.openxmlformats.org/officeDocument/2006/relationships/hyperlink" Id="rId129" Target="https://gist.github.com/Jekins/2bf2d0638163f1294637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8" Target="https://esystem.rudn.ru/pluginfile.php/1651891/mod_resource/content/2/006-lab_selinux.pdf" TargetMode="External" /><Relationship Type="http://schemas.openxmlformats.org/officeDocument/2006/relationships/hyperlink" Id="rId129" Target="https://gist.github.com/Jekins/2bf2d0638163f1294637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Лукьянова Ирина Владимировна, НФИбд-02-19</dc:creator>
  <dc:language>ru-RU</dc:language>
  <cp:keywords/>
  <dcterms:created xsi:type="dcterms:W3CDTF">2022-10-04T11:00:21Z</dcterms:created>
  <dcterms:modified xsi:type="dcterms:W3CDTF">2022-10-04T11:00:21Z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">
    <vt:lpwstr>True</vt:lpwstr>
  </property>
  <property fmtid="{D5CDD505-2E9C-101B-9397-08002B2CF9AE}" pid="45" name="lotTitle">
    <vt:lpwstr>List of Tables</vt:lpwstr>
  </property>
  <property fmtid="{D5CDD505-2E9C-101B-9397-08002B2CF9AE}" pid="46" name="lstLabels">
    <vt:lpwstr>arabic</vt:lpwstr>
  </property>
  <property fmtid="{D5CDD505-2E9C-101B-9397-08002B2CF9AE}" pid="47" name="lstPrefix">
    <vt:lpwstr/>
  </property>
  <property fmtid="{D5CDD505-2E9C-101B-9397-08002B2CF9AE}" pid="48" name="lstPrefixTemplate">
    <vt:lpwstr>p i</vt:lpwstr>
  </property>
  <property fmtid="{D5CDD505-2E9C-101B-9397-08002B2CF9AE}" pid="49" name="mainfont">
    <vt:lpwstr>PT Serif</vt:lpwstr>
  </property>
  <property fmtid="{D5CDD505-2E9C-101B-9397-08002B2CF9AE}" pid="50" name="mainfontoptions">
    <vt:lpwstr>Ligatures=TeX</vt:lpwstr>
  </property>
  <property fmtid="{D5CDD505-2E9C-101B-9397-08002B2CF9AE}" pid="51" name="monofont">
    <vt:lpwstr>PT Mono</vt:lpwstr>
  </property>
  <property fmtid="{D5CDD505-2E9C-101B-9397-08002B2CF9AE}" pid="52" name="monofontoptions">
    <vt:lpwstr>Scale=MatchLowercase,Scale=0.9</vt:lpwstr>
  </property>
  <property fmtid="{D5CDD505-2E9C-101B-9397-08002B2CF9AE}" pid="53" name="nameInLink">
    <vt:lpwstr>False</vt:lpwstr>
  </property>
  <property fmtid="{D5CDD505-2E9C-101B-9397-08002B2CF9AE}" pid="54" name="numberSections">
    <vt:lpwstr>False</vt:lpwstr>
  </property>
  <property fmtid="{D5CDD505-2E9C-101B-9397-08002B2CF9AE}" pid="55" name="pairDelim">
    <vt:lpwstr>, </vt:lpwstr>
  </property>
  <property fmtid="{D5CDD505-2E9C-101B-9397-08002B2CF9AE}" pid="56" name="papersize">
    <vt:lpwstr>a4</vt:lpwstr>
  </property>
  <property fmtid="{D5CDD505-2E9C-101B-9397-08002B2CF9AE}" pid="57" name="polyglossia-lang">
    <vt:lpwstr/>
  </property>
  <property fmtid="{D5CDD505-2E9C-101B-9397-08002B2CF9AE}" pid="58" name="polyglossia-otherlangs">
    <vt:lpwstr/>
  </property>
  <property fmtid="{D5CDD505-2E9C-101B-9397-08002B2CF9AE}" pid="59" name="rangeDelim">
    <vt:lpwstr>-</vt:lpwstr>
  </property>
  <property fmtid="{D5CDD505-2E9C-101B-9397-08002B2CF9AE}" pid="60" name="refDelim">
    <vt:lpwstr>, </vt:lpwstr>
  </property>
  <property fmtid="{D5CDD505-2E9C-101B-9397-08002B2CF9AE}" pid="61" name="refIndexTemplate">
    <vt:lpwstr>isuf</vt:lpwstr>
  </property>
  <property fmtid="{D5CDD505-2E9C-101B-9397-08002B2CF9AE}" pid="62" name="romanfont">
    <vt:lpwstr>PT Serif</vt:lpwstr>
  </property>
  <property fmtid="{D5CDD505-2E9C-101B-9397-08002B2CF9AE}" pid="63" name="romanfontoptions">
    <vt:lpwstr>Ligatures=TeX</vt:lpwstr>
  </property>
  <property fmtid="{D5CDD505-2E9C-101B-9397-08002B2CF9AE}" pid="64" name="sansfont">
    <vt:lpwstr>PT Sans</vt:lpwstr>
  </property>
  <property fmtid="{D5CDD505-2E9C-101B-9397-08002B2CF9AE}" pid="65" name="sansfontoptions">
    <vt:lpwstr>Ligatures=TeX,Scale=MatchLowercase</vt:lpwstr>
  </property>
  <property fmtid="{D5CDD505-2E9C-101B-9397-08002B2CF9AE}" pid="66" name="secHeaderDelim">
    <vt:lpwstr> </vt:lpwstr>
  </property>
  <property fmtid="{D5CDD505-2E9C-101B-9397-08002B2CF9AE}" pid="67" name="secHeaderTemplate">
    <vt:lpwstr>isecHeaderDelim[n]t</vt:lpwstr>
  </property>
  <property fmtid="{D5CDD505-2E9C-101B-9397-08002B2CF9AE}" pid="68" name="secLabels">
    <vt:lpwstr>arabic</vt:lpwstr>
  </property>
  <property fmtid="{D5CDD505-2E9C-101B-9397-08002B2CF9AE}" pid="69" name="secPrefix">
    <vt:lpwstr/>
  </property>
  <property fmtid="{D5CDD505-2E9C-101B-9397-08002B2CF9AE}" pid="70" name="secPrefixTemplate">
    <vt:lpwstr>p i</vt:lpwstr>
  </property>
  <property fmtid="{D5CDD505-2E9C-101B-9397-08002B2CF9AE}" pid="71" name="sectionsDepth">
    <vt:lpwstr>0</vt:lpwstr>
  </property>
  <property fmtid="{D5CDD505-2E9C-101B-9397-08002B2CF9AE}" pid="72" name="subfigGrid">
    <vt:lpwstr>False</vt:lpwstr>
  </property>
  <property fmtid="{D5CDD505-2E9C-101B-9397-08002B2CF9AE}" pid="73" name="subfigLabels">
    <vt:lpwstr>alpha a</vt:lpwstr>
  </property>
  <property fmtid="{D5CDD505-2E9C-101B-9397-08002B2CF9AE}" pid="74" name="subfigureChildTemplate">
    <vt:lpwstr>i</vt:lpwstr>
  </property>
  <property fmtid="{D5CDD505-2E9C-101B-9397-08002B2CF9AE}" pid="75" name="subfigureRefIndexTemplate">
    <vt:lpwstr>isuf (s)</vt:lpwstr>
  </property>
  <property fmtid="{D5CDD505-2E9C-101B-9397-08002B2CF9AE}" pid="76" name="subfigureTemplate">
    <vt:lpwstr>figureTitle ititleDelim t. ccs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