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Author"/>
      </w:pPr>
      <w:r>
        <w:t xml:space="preserve">Лукьянова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Владимировна,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  <w:r>
        <w:rPr>
          <w:rStyle w:val="FootnoteReference"/>
        </w:rPr>
        <w:footnoteReference w:id="20"/>
      </w:r>
    </w:p>
    <w:bookmarkEnd w:id="21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Теоретические сведения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известном открытом тексте.</w:t>
      </w:r>
    </w:p>
    <w:p>
      <w:pPr>
        <w:numPr>
          <w:ilvl w:val="0"/>
          <w:numId w:val="1001"/>
        </w:numPr>
        <w:pStyle w:val="Compact"/>
      </w:pPr>
      <w:r>
        <w:t xml:space="preserve">Определить ключ, с помощью которого шифротекст может быть преоб- разован в некоторый фрагмент текста, представляющий собой один из возможных вариантов прочтения открытого текста.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t xml:space="preserve">Добавляем необходимые библиотеки и создаем функцию генерации ключа.(рис. 1)</w:t>
      </w:r>
    </w:p>
    <w:p>
      <w:pPr>
        <w:pStyle w:val="CaptionedFigure"/>
      </w:pPr>
      <w:bookmarkStart w:id="26" w:name="fig:001"/>
      <w:r>
        <w:drawing>
          <wp:inline>
            <wp:extent cx="5334000" cy="2450958"/>
            <wp:effectExtent b="0" l="0" r="0" t="0"/>
            <wp:docPr descr="Figure 1: Код" title="" id="24" name="Picture"/>
            <a:graphic>
              <a:graphicData uri="http://schemas.openxmlformats.org/drawingml/2006/picture">
                <pic:pic>
                  <pic:nvPicPr>
                    <pic:cNvPr descr="screen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Код</w:t>
      </w:r>
    </w:p>
    <w:p>
      <w:pPr>
        <w:pStyle w:val="BodyText"/>
      </w:pPr>
      <w:r>
        <w:t xml:space="preserve">Создаем функцию перевода в 16 строку и переводим ключ, с помощью этой функции.(рис. 2)</w:t>
      </w:r>
    </w:p>
    <w:p>
      <w:pPr>
        <w:pStyle w:val="CaptionedFigure"/>
      </w:pPr>
      <w:bookmarkStart w:id="30" w:name="fig:002"/>
      <w:r>
        <w:drawing>
          <wp:inline>
            <wp:extent cx="5334000" cy="1701731"/>
            <wp:effectExtent b="0" l="0" r="0" t="0"/>
            <wp:docPr descr="Figure 2: Код 2" title="" id="28" name="Picture"/>
            <a:graphic>
              <a:graphicData uri="http://schemas.openxmlformats.org/drawingml/2006/picture">
                <pic:pic>
                  <pic:nvPicPr>
                    <pic:cNvPr descr="screen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Код 2</w:t>
      </w:r>
    </w:p>
    <w:p>
      <w:pPr>
        <w:pStyle w:val="BodyText"/>
      </w:pPr>
      <w:r>
        <w:t xml:space="preserve">Создаем функцию сложения по модулю 2 (XOR) для нее нам нужна еще одна функция, которая переводит наши символы в числа. (рис. 3)</w:t>
      </w:r>
    </w:p>
    <w:p>
      <w:pPr>
        <w:pStyle w:val="CaptionedFigure"/>
      </w:pPr>
      <w:bookmarkStart w:id="34" w:name="fig:003"/>
      <w:r>
        <w:drawing>
          <wp:inline>
            <wp:extent cx="5334000" cy="3785195"/>
            <wp:effectExtent b="0" l="0" r="0" t="0"/>
            <wp:docPr descr="Figure 3: Функции" title="" id="32" name="Picture"/>
            <a:graphic>
              <a:graphicData uri="http://schemas.openxmlformats.org/drawingml/2006/picture">
                <pic:pic>
                  <pic:nvPicPr>
                    <pic:cNvPr descr="screen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5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Функции</w:t>
      </w:r>
    </w:p>
    <w:p>
      <w:pPr>
        <w:pStyle w:val="BodyText"/>
      </w:pPr>
      <w:r>
        <w:t xml:space="preserve">В итоге получаем следующие данные: (рис. 4)</w:t>
      </w:r>
    </w:p>
    <w:p>
      <w:pPr>
        <w:pStyle w:val="CaptionedFigure"/>
      </w:pPr>
      <w:bookmarkStart w:id="38" w:name="fig:004"/>
      <w:r>
        <w:drawing>
          <wp:inline>
            <wp:extent cx="5334000" cy="1610392"/>
            <wp:effectExtent b="0" l="0" r="0" t="0"/>
            <wp:docPr descr="Figure 4: Вывод данных" title="" id="36" name="Picture"/>
            <a:graphic>
              <a:graphicData uri="http://schemas.openxmlformats.org/drawingml/2006/picture">
                <pic:pic>
                  <pic:nvPicPr>
                    <pic:cNvPr descr="screen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0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Вывод данных</w:t>
      </w:r>
    </w:p>
    <w:p>
      <w:pPr>
        <w:pStyle w:val="BodyText"/>
      </w:pPr>
      <w:r>
        <w:t xml:space="preserve">После мы создаем новый ключ, используя открытый текст и шифр и расшифровываем сообщение с новым ключом: (рис. 5)</w:t>
      </w:r>
    </w:p>
    <w:p>
      <w:pPr>
        <w:pStyle w:val="CaptionedFigure"/>
      </w:pPr>
      <w:bookmarkStart w:id="42" w:name="fig:005"/>
      <w:r>
        <w:drawing>
          <wp:inline>
            <wp:extent cx="5334000" cy="3585633"/>
            <wp:effectExtent b="0" l="0" r="0" t="0"/>
            <wp:docPr descr="Figure 5: Проверяем работу сервиса" title="" id="40" name="Picture"/>
            <a:graphic>
              <a:graphicData uri="http://schemas.openxmlformats.org/drawingml/2006/picture">
                <pic:pic>
                  <pic:nvPicPr>
                    <pic:cNvPr descr="screen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5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Проверяем работу сервиса</w:t>
      </w:r>
    </w:p>
    <w:p>
      <w:pPr>
        <w:pStyle w:val="BodyText"/>
      </w:pPr>
      <w:r>
        <w:t xml:space="preserve">В завершении сравниваем ключи и убеждаемся в правильности найденного нового ключа.</w:t>
      </w:r>
    </w:p>
    <w:bookmarkEnd w:id="43"/>
    <w:bookmarkStart w:id="4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Поясните смысл однократного гаммирования.</w:t>
      </w:r>
      <w:r>
        <w:t xml:space="preserve"> </w:t>
      </w:r>
      <w:r>
        <w:t xml:space="preserve">Гаммирование — это наложение (снятие) на открытые (зашифрованные) данные последовательности элементов других данных, полученной с помощью некоторого криптографического алгоритма, для получения зашифрованных (открытых) данных.</w:t>
      </w:r>
    </w:p>
    <w:p>
      <w:pPr>
        <w:numPr>
          <w:ilvl w:val="0"/>
          <w:numId w:val="1002"/>
        </w:numPr>
      </w:pPr>
      <w:r>
        <w:t xml:space="preserve">Перечислите недостатки однократного гаммирования.</w:t>
      </w:r>
      <w:r>
        <w:t xml:space="preserve"> </w:t>
      </w:r>
      <w:r>
        <w:t xml:space="preserve">Ключ одного размера с сообщением, что является уязвимостью.</w:t>
      </w:r>
    </w:p>
    <w:p>
      <w:pPr>
        <w:numPr>
          <w:ilvl w:val="0"/>
          <w:numId w:val="1002"/>
        </w:numPr>
      </w:pPr>
      <w:r>
        <w:t xml:space="preserve">Перечислите преимущества однократного гаммирования.</w:t>
      </w:r>
      <w:r>
        <w:t xml:space="preserve"> </w:t>
      </w:r>
      <w:r>
        <w:t xml:space="preserve">Стойкость и легкость в использоавании.</w:t>
      </w:r>
    </w:p>
    <w:p>
      <w:pPr>
        <w:numPr>
          <w:ilvl w:val="0"/>
          <w:numId w:val="1002"/>
        </w:numPr>
      </w:pPr>
      <w:r>
        <w:t xml:space="preserve">Почему длина открытого текста должна совпадать с длиной ключа?</w:t>
      </w:r>
      <w:r>
        <w:t xml:space="preserve"> </w:t>
      </w:r>
      <w:r>
        <w:t xml:space="preserve">Каждый символ текста попарно складывается с символом ключа. Следовательно шифротекст получится той же длины.</w:t>
      </w:r>
    </w:p>
    <w:p>
      <w:pPr>
        <w:numPr>
          <w:ilvl w:val="0"/>
          <w:numId w:val="1002"/>
        </w:numPr>
      </w:pPr>
      <w:r>
        <w:t xml:space="preserve">Какая операция используется в режиме однократного гаммирования,назовите её особенности? Сложение по модулю 2 (ХOR). Каждая пара двоичных знаков заменяется одним двоичным знаком шифрованного текста в соответствии с принятым алгоритмом;</w:t>
      </w:r>
    </w:p>
    <w:p>
      <w:pPr>
        <w:numPr>
          <w:ilvl w:val="0"/>
          <w:numId w:val="1002"/>
        </w:numPr>
      </w:pPr>
      <w:r>
        <w:t xml:space="preserve">Как по открытому тексту и ключу получить шифротекст?</w:t>
      </w:r>
      <w:r>
        <w:t xml:space="preserve"> </w:t>
      </w:r>
      <w:r>
        <w:t xml:space="preserve">Сложить по модулю 2 символы открытого текста и ключа.</w:t>
      </w:r>
    </w:p>
    <w:p>
      <w:pPr>
        <w:numPr>
          <w:ilvl w:val="0"/>
          <w:numId w:val="1002"/>
        </w:numPr>
      </w:pPr>
      <w:r>
        <w:t xml:space="preserve">Как по открытому тексту и шифротексту получить ключ?</w:t>
      </w:r>
      <w:r>
        <w:t xml:space="preserve"> </w:t>
      </w:r>
      <w:r>
        <w:t xml:space="preserve">Сложить по модулю 2 символы открытого текста и шифротекста.</w:t>
      </w:r>
    </w:p>
    <w:p>
      <w:pPr>
        <w:numPr>
          <w:ilvl w:val="0"/>
          <w:numId w:val="1002"/>
        </w:numPr>
      </w:pPr>
      <w:r>
        <w:t xml:space="preserve">В чем заключаются необходимые и достаточные условия абсолютной стойкости шифра? полная случайность ключа; равенство длин ключа и открытого текста; однократное использование ключа.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на практике применение режима однократного гаммирования.</w:t>
      </w:r>
    </w:p>
    <w:bookmarkEnd w:id="45"/>
    <w:bookmarkStart w:id="48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</w:rPr>
          <w:t xml:space="preserve">Элементы криптографии. Однократное гаммирование. / Кулябов Д. С., Королькова А. В., Геворкян М. Н. - Москва: - 7 с.</w:t>
        </w:r>
      </w:hyperlink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</w:rPr>
          <w:t xml:space="preserve">Руководство по оформлению Markdown.</w:t>
        </w:r>
      </w:hyperlink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Элементы криптографии. Однократное гаммирование.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6" Target="https://esystem.rudn.ru/pluginfile.php/1651893/mod_resource/content/2/007-lab_crypto-gamma.pdf" TargetMode="External" /><Relationship Type="http://schemas.openxmlformats.org/officeDocument/2006/relationships/hyperlink" Id="rId47" Target="https://gist.github.com/Jekins/2bf2d0638163f12946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esystem.rudn.ru/pluginfile.php/1651893/mod_resource/content/2/007-lab_crypto-gamma.pdf" TargetMode="External" /><Relationship Type="http://schemas.openxmlformats.org/officeDocument/2006/relationships/hyperlink" Id="rId47" Target="https://gist.github.com/Jekins/2bf2d0638163f12946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Лукьянова Ирина Владимировна, НФИбд-02-19</dc:creator>
  <dc:language>ru-RU</dc:language>
  <cp:keywords/>
  <dcterms:created xsi:type="dcterms:W3CDTF">2022-10-04T11:01:52Z</dcterms:created>
  <dcterms:modified xsi:type="dcterms:W3CDTF">2022-10-04T11:01:52Z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