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  <w:r>
        <w:rPr>
          <w:rStyle w:val="FootnoteReference"/>
        </w:rPr>
        <w:footnoteReference w:id="20"/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Теоретические сведения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 P2 при известном ключе;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Добавляем необходимые библиотеки и создаем функцию генерации ключа.</w:t>
      </w:r>
      <w:r>
        <w:t xml:space="preserve"> </w:t>
      </w:r>
      <w:r>
        <w:t xml:space="preserve">Затем создаем функцию перевода в 16 строку и переводим ключ, с помощью этой функции(рис. 1)</w:t>
      </w:r>
    </w:p>
    <w:p>
      <w:pPr>
        <w:pStyle w:val="CaptionedFigure"/>
      </w:pPr>
      <w:bookmarkStart w:id="26" w:name="fig:001"/>
      <w:r>
        <w:drawing>
          <wp:inline>
            <wp:extent cx="5334000" cy="3947160"/>
            <wp:effectExtent b="0" l="0" r="0" t="0"/>
            <wp:docPr descr="Figure 1: Код" title="" id="24" name="Picture"/>
            <a:graphic>
              <a:graphicData uri="http://schemas.openxmlformats.org/drawingml/2006/picture">
                <pic:pic>
                  <pic:nvPicPr>
                    <pic:cNvPr descr="screen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</w:t>
      </w:r>
    </w:p>
    <w:p>
      <w:pPr>
        <w:pStyle w:val="BodyText"/>
      </w:pPr>
      <w:r>
        <w:t xml:space="preserve">Создаем функцию сложения по модулю 2 (XOR) для нее нам нужна еще одна функция, которая переводит наши символы в числа.(рис. 2)</w:t>
      </w:r>
    </w:p>
    <w:p>
      <w:pPr>
        <w:pStyle w:val="CaptionedFigure"/>
      </w:pPr>
      <w:bookmarkStart w:id="30" w:name="fig:002"/>
      <w:r>
        <w:drawing>
          <wp:inline>
            <wp:extent cx="5334000" cy="2754923"/>
            <wp:effectExtent b="0" l="0" r="0" t="0"/>
            <wp:docPr descr="Figure 2: Код 2" title="" id="28" name="Picture"/>
            <a:graphic>
              <a:graphicData uri="http://schemas.openxmlformats.org/drawingml/2006/picture">
                <pic:pic>
                  <pic:nvPicPr>
                    <pic:cNvPr descr="screen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Код 2</w:t>
      </w:r>
    </w:p>
    <w:p>
      <w:pPr>
        <w:pStyle w:val="BodyText"/>
      </w:pPr>
      <w:r>
        <w:t xml:space="preserve">В итоге получаем следующие данные: (рис. 3)</w:t>
      </w:r>
    </w:p>
    <w:p>
      <w:pPr>
        <w:pStyle w:val="CaptionedFigure"/>
      </w:pPr>
      <w:bookmarkStart w:id="34" w:name="fig:003"/>
      <w:r>
        <w:drawing>
          <wp:inline>
            <wp:extent cx="5334000" cy="1547317"/>
            <wp:effectExtent b="0" l="0" r="0" t="0"/>
            <wp:docPr descr="Figure 3: Вывод данных" title="" id="32" name="Picture"/>
            <a:graphic>
              <a:graphicData uri="http://schemas.openxmlformats.org/drawingml/2006/picture">
                <pic:pic>
                  <pic:nvPicPr>
                    <pic:cNvPr descr="screen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Вывод данных</w:t>
      </w:r>
    </w:p>
    <w:p>
      <w:pPr>
        <w:pStyle w:val="BodyText"/>
      </w:pPr>
      <w:r>
        <w:t xml:space="preserve">Далее мы используем уже написанные функции для того, чтобы расшифровать текст без ключа: (рис. 4)</w:t>
      </w:r>
    </w:p>
    <w:p>
      <w:pPr>
        <w:pStyle w:val="CaptionedFigure"/>
      </w:pPr>
      <w:bookmarkStart w:id="38" w:name="fig:004"/>
      <w:r>
        <w:drawing>
          <wp:inline>
            <wp:extent cx="5334000" cy="3080197"/>
            <wp:effectExtent b="0" l="0" r="0" t="0"/>
            <wp:docPr descr="Figure 4: Вывод данных" title="" id="36" name="Picture"/>
            <a:graphic>
              <a:graphicData uri="http://schemas.openxmlformats.org/drawingml/2006/picture">
                <pic:pic>
                  <pic:nvPicPr>
                    <pic:cNvPr descr="screen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Вывод данных</w:t>
      </w:r>
    </w:p>
    <w:p>
      <w:pPr>
        <w:pStyle w:val="BodyText"/>
      </w:pPr>
      <w:r>
        <w:t xml:space="preserve">Для этого мы используем сложение по модулю 2 между шифротекстами, далее повторяем операцию с одним из открытых текстов. В итоге получаем второй расшифрованный текст.</w:t>
      </w:r>
      <w:r>
        <w:t xml:space="preserve"> </w:t>
      </w:r>
      <w:r>
        <w:t xml:space="preserve">Данные операции также действуют и для второго текста, что я и демонстрирую на рисунке (рис. 4).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t xml:space="preserve">Сложить по модулю 2 оба шифротекста и известный второй текст. В результате получим расшифрованный первый текст, аналогично и для второго текста.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Если оба текста зашифрованы одним ключом, то злоумышленнику легче их взломать.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Оба открытхих текста шифруются одним ключом.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Большая вероятность взлома.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Используется всего один ключ, что, к сожалению, является больше недостатком, чем преимуществом.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1"/>
    <w:bookmarkStart w:id="4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Элементы криптографии. Шифрование (кодирование) различных исходных текстов одним ключом. / Кулябов Д. С., Королькова А. В., Геворкян М. Н. - Москва: - 7 с.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Руководство по оформлению Markdown.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Элементы криптографии. Шифрование (кодирование) различных исходных текстов одним ключом.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esystem.rudn.ru/pluginfile.php/1651895/mod_resource/content/2/008-lab_crypto-key.pdf" TargetMode="External" /><Relationship Type="http://schemas.openxmlformats.org/officeDocument/2006/relationships/hyperlink" Id="rId43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1651895/mod_resource/content/2/008-lab_crypto-key.pdf" TargetMode="External" /><Relationship Type="http://schemas.openxmlformats.org/officeDocument/2006/relationships/hyperlink" Id="rId43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Лукьянова Ирина Владимировна, НФИбд-02-19</dc:creator>
  <dc:language>ru-RU</dc:language>
  <cp:keywords/>
  <dcterms:created xsi:type="dcterms:W3CDTF">2022-10-04T11:03:05Z</dcterms:created>
  <dcterms:modified xsi:type="dcterms:W3CDTF">2022-10-04T11:03:05Z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