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работы - познакомиться с программным обеспечением OpenModelica, изучить команды, научиться создавать симуляции, а также построить модель боевых действий.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40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30 030 человек, а в распоряжении страны У армия численностью в 59 010 человек. Для упрощения модели считаем, что коэффициенты a,b,c,h постоянны. Также считаем P(t) и Q(t) непрерывные функции. Нам нужно построить графики изменения численности войск армии Х и армии У.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Нам нужно рассмотреть 2 модели боя для того, чтобы построить симуляции.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войсками, которая описывается следующим образом:(рис.1)</w:t>
      </w:r>
    </w:p>
    <w:p>
      <w:pPr>
        <w:pStyle w:val="CaptionedFigure"/>
      </w:pPr>
      <w:bookmarkStart w:id="26" w:name="fig:001"/>
      <w:r>
        <w:drawing>
          <wp:inline>
            <wp:extent cx="5334000" cy="2346026"/>
            <wp:effectExtent b="0" l="0" r="0" t="0"/>
            <wp:docPr descr="Figure 1: Рис.1" title="" id="24" name="Picture"/>
            <a:graphic>
              <a:graphicData uri="http://schemas.openxmlformats.org/drawingml/2006/picture">
                <pic:pic>
                  <pic:nvPicPr>
                    <pic:cNvPr descr="screen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Рис.1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с участием регулярных войск и партизанских отрядов:(рис. 2)</w:t>
      </w:r>
    </w:p>
    <w:p>
      <w:pPr>
        <w:pStyle w:val="CaptionedFigure"/>
      </w:pPr>
      <w:bookmarkStart w:id="30" w:name="fig:002"/>
      <w:r>
        <w:drawing>
          <wp:inline>
            <wp:extent cx="5334000" cy="1911268"/>
            <wp:effectExtent b="0" l="0" r="0" t="0"/>
            <wp:docPr descr="Figure 2: Рис.2" title="" id="28" name="Picture"/>
            <a:graphic>
              <a:graphicData uri="http://schemas.openxmlformats.org/drawingml/2006/picture">
                <pic:pic>
                  <pic:nvPicPr>
                    <pic:cNvPr descr="screen/1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Рис.2</w:t>
      </w:r>
    </w:p>
    <w:p>
      <w:pPr>
        <w:pStyle w:val="BodyText"/>
      </w:pPr>
      <w:r>
        <w:t xml:space="preserve">Благодаря этим данным, мы можем приступить к выполнению лабораторной работы.</w:t>
      </w:r>
    </w:p>
    <w:bookmarkEnd w:id="3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Запишем начальные данные и зададим коэффициенты эффективности армий.</w:t>
      </w:r>
    </w:p>
    <w:p>
      <w:pPr>
        <w:numPr>
          <w:ilvl w:val="0"/>
          <w:numId w:val="1003"/>
        </w:numPr>
        <w:pStyle w:val="Compact"/>
      </w:pPr>
      <w:r>
        <w:t xml:space="preserve">Получим систему, описывающую противостояние между регулярными войсками X и Y.</w:t>
      </w:r>
    </w:p>
    <w:p>
      <w:pPr>
        <w:numPr>
          <w:ilvl w:val="0"/>
          <w:numId w:val="1003"/>
        </w:numPr>
        <w:pStyle w:val="Compact"/>
      </w:pPr>
      <w:r>
        <w:t xml:space="preserve">Поменяем коэффициенты эффективности армий для второго случая.</w:t>
      </w:r>
    </w:p>
    <w:p>
      <w:pPr>
        <w:numPr>
          <w:ilvl w:val="0"/>
          <w:numId w:val="1003"/>
        </w:numPr>
        <w:pStyle w:val="Compact"/>
      </w:pPr>
      <w:r>
        <w:t xml:space="preserve">Запишем систему, описывающую ведение боевых действий с участием регулярных войск и партизанских отрядов.</w:t>
      </w:r>
    </w:p>
    <w:p>
      <w:pPr>
        <w:numPr>
          <w:ilvl w:val="0"/>
          <w:numId w:val="1003"/>
        </w:numPr>
        <w:pStyle w:val="Compact"/>
      </w:pPr>
      <w:r>
        <w:t xml:space="preserve">Посмотрим симуляции моделей и сравним их.</w:t>
      </w:r>
    </w:p>
    <w:p>
      <w:pPr>
        <w:pStyle w:val="FirstParagraph"/>
      </w:pPr>
      <w:r>
        <w:rPr>
          <w:bCs/>
          <w:b/>
        </w:rPr>
        <w:t xml:space="preserve">Начнем с первой системы, которая описывает противостояние между регулярными войсками:</w:t>
      </w:r>
    </w:p>
    <w:p>
      <w:pPr>
        <w:numPr>
          <w:ilvl w:val="0"/>
          <w:numId w:val="1004"/>
        </w:numPr>
        <w:pStyle w:val="Compact"/>
      </w:pPr>
      <w:r>
        <w:t xml:space="preserve">Записываем начальные условия: численность первой и второй армии.(рис. 3)</w:t>
      </w:r>
    </w:p>
    <w:p>
      <w:pPr>
        <w:pStyle w:val="CaptionedFigure"/>
      </w:pPr>
      <w:bookmarkStart w:id="35" w:name="fig:003"/>
      <w:r>
        <w:drawing>
          <wp:inline>
            <wp:extent cx="4889500" cy="1219200"/>
            <wp:effectExtent b="0" l="0" r="0" t="0"/>
            <wp:docPr descr="Figure 3: Начальные условия" title="" id="33" name="Picture"/>
            <a:graphic>
              <a:graphicData uri="http://schemas.openxmlformats.org/drawingml/2006/picture">
                <pic:pic>
                  <pic:nvPicPr>
                    <pic:cNvPr descr="screen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Начальные условия</w:t>
      </w:r>
    </w:p>
    <w:p>
      <w:pPr>
        <w:numPr>
          <w:ilvl w:val="0"/>
          <w:numId w:val="1005"/>
        </w:numPr>
        <w:pStyle w:val="Compact"/>
      </w:pPr>
      <w:r>
        <w:t xml:space="preserve">Далее прописываем коэффициенты, описывающие эффективность боевых действий и константы, характеризующие степень влияния различных факторов на потери:(рис. 4)</w:t>
      </w:r>
    </w:p>
    <w:p>
      <w:pPr>
        <w:pStyle w:val="CaptionedFigure"/>
      </w:pPr>
      <w:bookmarkStart w:id="39" w:name="fig:004"/>
      <w:r>
        <w:drawing>
          <wp:inline>
            <wp:extent cx="5092700" cy="1257300"/>
            <wp:effectExtent b="0" l="0" r="0" t="0"/>
            <wp:docPr descr="Figure 4: Константы и коэффициенты" title="" id="37" name="Picture"/>
            <a:graphic>
              <a:graphicData uri="http://schemas.openxmlformats.org/drawingml/2006/picture">
                <pic:pic>
                  <pic:nvPicPr>
                    <pic:cNvPr descr="screen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Константы и коэффициенты</w:t>
      </w:r>
    </w:p>
    <w:p>
      <w:pPr>
        <w:numPr>
          <w:ilvl w:val="0"/>
          <w:numId w:val="1006"/>
        </w:numPr>
        <w:pStyle w:val="Compact"/>
      </w:pPr>
      <w:r>
        <w:t xml:space="preserve">Записсываем систему дифференциальных уравнений:(рис. 5)</w:t>
      </w:r>
    </w:p>
    <w:p>
      <w:pPr>
        <w:pStyle w:val="CaptionedFigure"/>
      </w:pPr>
      <w:bookmarkStart w:id="43" w:name="fig:005"/>
      <w:r>
        <w:drawing>
          <wp:inline>
            <wp:extent cx="5334000" cy="1152455"/>
            <wp:effectExtent b="0" l="0" r="0" t="0"/>
            <wp:docPr descr="Figure 5: Система ДУ" title="" id="41" name="Picture"/>
            <a:graphic>
              <a:graphicData uri="http://schemas.openxmlformats.org/drawingml/2006/picture">
                <pic:pic>
                  <pic:nvPicPr>
                    <pic:cNvPr descr="screen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Система ДУ</w:t>
      </w:r>
    </w:p>
    <w:p>
      <w:pPr>
        <w:numPr>
          <w:ilvl w:val="0"/>
          <w:numId w:val="1007"/>
        </w:numPr>
        <w:pStyle w:val="Compact"/>
      </w:pPr>
      <w:r>
        <w:t xml:space="preserve">Далее строим график решений, задавая время и число интервалов:(рис. 6)</w:t>
      </w:r>
    </w:p>
    <w:p>
      <w:pPr>
        <w:pStyle w:val="CaptionedFigure"/>
      </w:pPr>
      <w:bookmarkStart w:id="47" w:name="fig:006"/>
      <w:r>
        <w:drawing>
          <wp:inline>
            <wp:extent cx="5334000" cy="3412484"/>
            <wp:effectExtent b="0" l="0" r="0" t="0"/>
            <wp:docPr descr="Figure 6: Модель боевых действий №1" title="" id="45" name="Picture"/>
            <a:graphic>
              <a:graphicData uri="http://schemas.openxmlformats.org/drawingml/2006/picture">
                <pic:pic>
                  <pic:nvPicPr>
                    <pic:cNvPr descr="screen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Модель боевых действий №1</w:t>
      </w:r>
    </w:p>
    <w:p>
      <w:pPr>
        <w:pStyle w:val="BodyText"/>
      </w:pPr>
      <w:r>
        <w:rPr>
          <w:bCs/>
          <w:b/>
        </w:rPr>
        <w:t xml:space="preserve">Рассмотрим вторую систему, которая описывает ведение боевых действий с участием регулярных войск и партизанских отрядов:</w:t>
      </w:r>
    </w:p>
    <w:p>
      <w:pPr>
        <w:pStyle w:val="BodyText"/>
      </w:pPr>
      <w:r>
        <w:t xml:space="preserve">Единственное, что нам надо изменить в нашей программе - это константы и коэффициенты:(рис. 7)</w:t>
      </w:r>
    </w:p>
    <w:p>
      <w:pPr>
        <w:pStyle w:val="CaptionedFigure"/>
      </w:pPr>
      <w:bookmarkStart w:id="51" w:name="fig:007"/>
      <w:r>
        <w:drawing>
          <wp:inline>
            <wp:extent cx="5334000" cy="2094630"/>
            <wp:effectExtent b="0" l="0" r="0" t="0"/>
            <wp:docPr descr="Figure 7: Условия второй системы" title="" id="49" name="Picture"/>
            <a:graphic>
              <a:graphicData uri="http://schemas.openxmlformats.org/drawingml/2006/picture">
                <pic:pic>
                  <pic:nvPicPr>
                    <pic:cNvPr descr="screen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Условия второй системы</w:t>
      </w:r>
    </w:p>
    <w:p>
      <w:pPr>
        <w:pStyle w:val="BodyText"/>
      </w:pPr>
      <w:r>
        <w:t xml:space="preserve">Далее аналогично проделываем работу для второй системы:(рис. 8)</w:t>
      </w:r>
    </w:p>
    <w:p>
      <w:pPr>
        <w:pStyle w:val="CaptionedFigure"/>
      </w:pPr>
      <w:bookmarkStart w:id="55" w:name="fig:008"/>
      <w:r>
        <w:drawing>
          <wp:inline>
            <wp:extent cx="5334000" cy="1383506"/>
            <wp:effectExtent b="0" l="0" r="0" t="0"/>
            <wp:docPr descr="Figure 8: Система ДУ №2" title="" id="53" name="Picture"/>
            <a:graphic>
              <a:graphicData uri="http://schemas.openxmlformats.org/drawingml/2006/picture">
                <pic:pic>
                  <pic:nvPicPr>
                    <pic:cNvPr descr="screen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Система ДУ №2</w:t>
      </w:r>
    </w:p>
    <w:p>
      <w:pPr>
        <w:pStyle w:val="BodyText"/>
      </w:pPr>
      <w:r>
        <w:t xml:space="preserve">Строим график решений:(рис. 9)</w:t>
      </w:r>
    </w:p>
    <w:p>
      <w:pPr>
        <w:pStyle w:val="CaptionedFigure"/>
      </w:pPr>
      <w:bookmarkStart w:id="59" w:name="fig:009"/>
      <w:r>
        <w:drawing>
          <wp:inline>
            <wp:extent cx="5334000" cy="3371792"/>
            <wp:effectExtent b="0" l="0" r="0" t="0"/>
            <wp:docPr descr="Figure 9: Модель боевых действий №2" title="" id="57" name="Picture"/>
            <a:graphic>
              <a:graphicData uri="http://schemas.openxmlformats.org/drawingml/2006/picture">
                <pic:pic>
                  <pic:nvPicPr>
                    <pic:cNvPr descr="screen/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9: Модель боевых действий №2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подробно ознакомилась с программным обеспечением OpenModelica, изучила его команды, научилась создавать симуляции, а также смогла построить модель боевых действий.</w:t>
      </w:r>
    </w:p>
    <w:bookmarkEnd w:id="61"/>
    <w:bookmarkStart w:id="6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62">
        <w:r>
          <w:rPr>
            <w:rStyle w:val="Hyperlink"/>
          </w:rPr>
          <w:t xml:space="preserve">Кулябов, Д.С. Модель боевых действий / Д.С.Кулябов. - Москва: - 7 с.</w:t>
        </w:r>
      </w:hyperlink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Руководство по оформлению Markdown.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Модель боевых действий.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2" Target="https://esystem.rudn.ru/pluginfile.php/1343885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3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1343885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3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Лукьянова Ирина Владимировна, НФИбд-02-19</dc:creator>
  <dc:language>ru-RU</dc:language>
  <cp:keywords/>
  <dcterms:created xsi:type="dcterms:W3CDTF">2022-02-25T10:57:21Z</dcterms:created>
  <dcterms:modified xsi:type="dcterms:W3CDTF">2022-02-25T10:57:21Z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