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6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44.png" ContentType="image/png"/>
  <Override PartName="/word/media/rId40.png" ContentType="image/png"/>
  <Override PartName="/word/media/rId52.png" ContentType="image/png"/>
  <Override PartName="/word/media/rId48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Лукьянова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 работы - познакомится с моделями гармонических калебаний, построить фазовый портрет гармонического осциллятора и решение уравнения гармонического осциллятора для трех случаев в OpenModelica.</w:t>
      </w:r>
    </w:p>
    <w:bookmarkEnd w:id="20"/>
    <w:bookmarkStart w:id="3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40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 силы.(рис.1)</w:t>
      </w:r>
    </w:p>
    <w:p>
      <w:pPr>
        <w:pStyle w:val="CaptionedFigure"/>
      </w:pPr>
      <w:bookmarkStart w:id="24" w:name="fig:001"/>
      <w:r>
        <w:drawing>
          <wp:inline>
            <wp:extent cx="2209800" cy="660400"/>
            <wp:effectExtent b="0" l="0" r="0" t="0"/>
            <wp:docPr descr="Figure 1: Рис.1" title="" id="22" name="Picture"/>
            <a:graphic>
              <a:graphicData uri="http://schemas.openxmlformats.org/drawingml/2006/picture">
                <pic:pic>
                  <pic:nvPicPr>
                    <pic:cNvPr descr="screen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 силы.(рис.2)</w:t>
      </w:r>
    </w:p>
    <w:p>
      <w:pPr>
        <w:pStyle w:val="CaptionedFigure"/>
      </w:pPr>
      <w:bookmarkStart w:id="28" w:name="fig:002"/>
      <w:r>
        <w:drawing>
          <wp:inline>
            <wp:extent cx="2984500" cy="558800"/>
            <wp:effectExtent b="0" l="0" r="0" t="0"/>
            <wp:docPr descr="Figure 2: Рис.2" title="" id="26" name="Picture"/>
            <a:graphic>
              <a:graphicData uri="http://schemas.openxmlformats.org/drawingml/2006/picture">
                <pic:pic>
                  <pic:nvPicPr>
                    <pic:cNvPr descr="screen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Рис.2</w:t>
      </w:r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под действием внешней силы.(рис.3)</w:t>
      </w:r>
      <w:r>
        <w:t xml:space="preserve"> </w:t>
      </w:r>
      <w:r>
        <w:rPr>
          <w:rStyle w:val="FootnoteReference"/>
        </w:rPr>
        <w:footnoteReference w:id="29"/>
      </w:r>
    </w:p>
    <w:p>
      <w:pPr>
        <w:pStyle w:val="CaptionedFigure"/>
      </w:pPr>
      <w:bookmarkStart w:id="33" w:name="fig:003"/>
      <w:r>
        <w:drawing>
          <wp:inline>
            <wp:extent cx="4457700" cy="711200"/>
            <wp:effectExtent b="0" l="0" r="0" t="0"/>
            <wp:docPr descr="Figure 3: Рис.3" title="" id="31" name="Picture"/>
            <a:graphic>
              <a:graphicData uri="http://schemas.openxmlformats.org/drawingml/2006/picture">
                <pic:pic>
                  <pic:nvPicPr>
                    <pic:cNvPr descr="screen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Рис.3</w:t>
      </w:r>
    </w:p>
    <w:bookmarkEnd w:id="34"/>
    <w:bookmarkStart w:id="39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 (рис.4)</w:t>
      </w:r>
    </w:p>
    <w:p>
      <w:pPr>
        <w:pStyle w:val="CaptionedFigure"/>
      </w:pPr>
      <w:bookmarkStart w:id="38" w:name="fig:004"/>
      <w:r>
        <w:drawing>
          <wp:inline>
            <wp:extent cx="4178300" cy="736600"/>
            <wp:effectExtent b="0" l="0" r="0" t="0"/>
            <wp:docPr descr="Figure 4: Рис.4" title="" id="36" name="Picture"/>
            <a:graphic>
              <a:graphicData uri="http://schemas.openxmlformats.org/drawingml/2006/picture">
                <pic:pic>
                  <pic:nvPicPr>
                    <pic:cNvPr descr="screen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Рис.4</w:t>
      </w:r>
    </w:p>
    <w:p>
      <w:pPr>
        <w:pStyle w:val="BodyText"/>
      </w:pPr>
      <m:oMath>
        <m:r>
          <m:t>x</m:t>
        </m:r>
      </m:oMath>
      <w:r>
        <w:t xml:space="preserve"> </w:t>
      </w:r>
      <w:r>
        <w:t xml:space="preserve">–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</w:t>
      </w:r>
      <w:r>
        <w:t xml:space="preserve"> </w:t>
      </w:r>
      <w:r>
        <w:t xml:space="preserve">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собственная частота 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время.</w:t>
      </w:r>
    </w:p>
    <w:p>
      <w:pPr>
        <w:pStyle w:val="BodyText"/>
      </w:pPr>
      <w:r>
        <w:t xml:space="preserve">Нам нужно рассмотреть 3 фазовых портрета гармонического осциллятора, а после построить симуляции.</w:t>
      </w:r>
    </w:p>
    <w:p>
      <w:pPr>
        <w:pStyle w:val="BodyText"/>
      </w:pPr>
      <w:r>
        <w:t xml:space="preserve">У нас есть начальные условия: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1.2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Также дан интервал, где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42</m:t>
            </m:r>
          </m:e>
        </m:d>
      </m:oMath>
      <w:r>
        <w:t xml:space="preserve">, а шаг равен 0.05.</w:t>
      </w:r>
    </w:p>
    <w:p>
      <w:pPr>
        <w:pStyle w:val="BodyText"/>
      </w:pPr>
      <w:r>
        <w:t xml:space="preserve">Благодаря этим данным, мы можем приступить к выполнению лабораторной работы.</w:t>
      </w:r>
    </w:p>
    <w:bookmarkEnd w:id="39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Рассмотрим 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4"/>
        </w:numPr>
        <w:pStyle w:val="Compact"/>
      </w:pPr>
      <w:r>
        <w:t xml:space="preserve">Рассмотрим 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4"/>
        </w:numPr>
        <w:pStyle w:val="Compact"/>
      </w:pPr>
      <w:r>
        <w:t xml:space="preserve">Рассмотрим 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5.2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Посмотрим симуляции моделей и сравним их.</w:t>
      </w:r>
    </w:p>
    <w:p>
      <w:pPr>
        <w:pStyle w:val="FirstParagraph"/>
      </w:pPr>
      <w:r>
        <w:rPr>
          <w:bCs/>
          <w:b/>
        </w:rPr>
        <w:t xml:space="preserve">Начнем с первого пункта, который описывает колебания гармонического осциллятора без затуханий и без действий внешней силы:</w:t>
      </w:r>
    </w:p>
    <w:p>
      <w:pPr>
        <w:numPr>
          <w:ilvl w:val="0"/>
          <w:numId w:val="1005"/>
        </w:numPr>
      </w:pPr>
      <w:r>
        <w:t xml:space="preserve">Записываем начальные условия: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1.2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5"/>
        </w:numPr>
      </w:pPr>
      <w:r>
        <w:t xml:space="preserve">Далее прописываем параметры осциллятора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</m:oMath>
    </w:p>
    <w:p>
      <w:pPr>
        <w:numPr>
          <w:ilvl w:val="0"/>
          <w:numId w:val="1005"/>
        </w:numPr>
      </w:pPr>
      <w:r>
        <w:t xml:space="preserve">Записсываем систему дифференциальных уравнений:(рис. 5)</w:t>
      </w:r>
    </w:p>
    <w:p>
      <w:pPr>
        <w:pStyle w:val="CaptionedFigure"/>
      </w:pPr>
      <w:bookmarkStart w:id="43" w:name="fig:005"/>
      <w:r>
        <w:drawing>
          <wp:inline>
            <wp:extent cx="5334000" cy="2272113"/>
            <wp:effectExtent b="0" l="0" r="0" t="0"/>
            <wp:docPr descr="Figure 5: Система и параметры" title="" id="41" name="Picture"/>
            <a:graphic>
              <a:graphicData uri="http://schemas.openxmlformats.org/drawingml/2006/picture">
                <pic:pic>
                  <pic:nvPicPr>
                    <pic:cNvPr descr="screen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5: Система и параметры</w:t>
      </w:r>
    </w:p>
    <w:p>
      <w:pPr>
        <w:numPr>
          <w:ilvl w:val="0"/>
          <w:numId w:val="1006"/>
        </w:numPr>
        <w:pStyle w:val="Compact"/>
      </w:pPr>
      <w:r>
        <w:t xml:space="preserve">Далее строим график решений, задавая время и число интервалов:(рис. 6)</w:t>
      </w:r>
    </w:p>
    <w:p>
      <w:pPr>
        <w:pStyle w:val="CaptionedFigure"/>
      </w:pPr>
      <w:bookmarkStart w:id="47" w:name="fig:006"/>
      <w:r>
        <w:drawing>
          <wp:inline>
            <wp:extent cx="5334000" cy="2325267"/>
            <wp:effectExtent b="0" l="0" r="0" t="0"/>
            <wp:docPr descr="Figure 6: Модель гармонических калебаний №1" title="" id="45" name="Picture"/>
            <a:graphic>
              <a:graphicData uri="http://schemas.openxmlformats.org/drawingml/2006/picture">
                <pic:pic>
                  <pic:nvPicPr>
                    <pic:cNvPr descr="screen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6: Модель гармонических калебаний №1</w:t>
      </w:r>
    </w:p>
    <w:p>
      <w:pPr>
        <w:pStyle w:val="BodyText"/>
      </w:pPr>
      <w:r>
        <w:rPr>
          <w:bCs/>
          <w:b/>
        </w:rPr>
        <w:t xml:space="preserve">Рассмотрим второй случай, который описывает колебания гармонического осциллятора c затуханием и без действий внешней силы:</w:t>
      </w:r>
    </w:p>
    <w:p>
      <w:pPr>
        <w:pStyle w:val="BodyText"/>
      </w:pPr>
      <w:r>
        <w:t xml:space="preserve">Единственное, что нам надо изменить в нашей программе - это параметры осциллятора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</m:oMath>
      <w:r>
        <w:t xml:space="preserve">:</w:t>
      </w:r>
    </w:p>
    <w:p>
      <w:pPr>
        <w:pStyle w:val="BodyText"/>
      </w:pPr>
      <w:r>
        <w:t xml:space="preserve">Далее аналогично проделываем работу для второй системы:(рис. 7)</w:t>
      </w:r>
    </w:p>
    <w:p>
      <w:pPr>
        <w:pStyle w:val="CaptionedFigure"/>
      </w:pPr>
      <w:bookmarkStart w:id="51" w:name="fig:007"/>
      <w:r>
        <w:drawing>
          <wp:inline>
            <wp:extent cx="5334000" cy="2535713"/>
            <wp:effectExtent b="0" l="0" r="0" t="0"/>
            <wp:docPr descr="Figure 7: Система и парметры №2" title="" id="49" name="Picture"/>
            <a:graphic>
              <a:graphicData uri="http://schemas.openxmlformats.org/drawingml/2006/picture">
                <pic:pic>
                  <pic:nvPicPr>
                    <pic:cNvPr descr="screen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7: Система и парметры №2</w:t>
      </w:r>
    </w:p>
    <w:p>
      <w:pPr>
        <w:pStyle w:val="BodyText"/>
      </w:pPr>
      <w:r>
        <w:t xml:space="preserve">Строим график решений:(рис. 8)</w:t>
      </w:r>
    </w:p>
    <w:p>
      <w:pPr>
        <w:pStyle w:val="CaptionedFigure"/>
      </w:pPr>
      <w:bookmarkStart w:id="55" w:name="fig:008"/>
      <w:r>
        <w:drawing>
          <wp:inline>
            <wp:extent cx="5334000" cy="2459039"/>
            <wp:effectExtent b="0" l="0" r="0" t="0"/>
            <wp:docPr descr="Figure 8: Модель гармонических калебаний №2" title="" id="53" name="Picture"/>
            <a:graphic>
              <a:graphicData uri="http://schemas.openxmlformats.org/drawingml/2006/picture">
                <pic:pic>
                  <pic:nvPicPr>
                    <pic:cNvPr descr="screen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8: Модель гармонических калебаний №2</w:t>
      </w:r>
    </w:p>
    <w:p>
      <w:pPr>
        <w:pStyle w:val="BodyText"/>
      </w:pPr>
      <w:r>
        <w:rPr>
          <w:bCs/>
          <w:b/>
        </w:rPr>
        <w:t xml:space="preserve">Рассмотрим третий случай, который описывает колебания гармонического осциллятора c затуханием и под действием внешней силы:</w:t>
      </w:r>
    </w:p>
    <w:p>
      <w:pPr>
        <w:pStyle w:val="BodyText"/>
      </w:pPr>
      <w:r>
        <w:t xml:space="preserve">Снова меняем параметры осциллятора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</m:oMath>
      <w:r>
        <w:t xml:space="preserve">:</w:t>
      </w:r>
    </w:p>
    <w:p>
      <w:pPr>
        <w:pStyle w:val="BodyText"/>
      </w:pPr>
      <w:r>
        <w:t xml:space="preserve">Далее записываем третью систему:(рис. 9)</w:t>
      </w:r>
    </w:p>
    <w:p>
      <w:pPr>
        <w:pStyle w:val="CaptionedFigure"/>
      </w:pPr>
      <w:bookmarkStart w:id="59" w:name="fig:009"/>
      <w:r>
        <w:drawing>
          <wp:inline>
            <wp:extent cx="5334000" cy="2408903"/>
            <wp:effectExtent b="0" l="0" r="0" t="0"/>
            <wp:docPr descr="Figure 9: Система и параметры №3" title="" id="57" name="Picture"/>
            <a:graphic>
              <a:graphicData uri="http://schemas.openxmlformats.org/drawingml/2006/picture">
                <pic:pic>
                  <pic:nvPicPr>
                    <pic:cNvPr descr="screen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9: Система и параметры №3</w:t>
      </w:r>
    </w:p>
    <w:p>
      <w:pPr>
        <w:pStyle w:val="BodyText"/>
      </w:pPr>
      <w:r>
        <w:t xml:space="preserve">Строим график решений:(рис. 10)</w:t>
      </w:r>
    </w:p>
    <w:p>
      <w:pPr>
        <w:pStyle w:val="CaptionedFigure"/>
      </w:pPr>
      <w:bookmarkStart w:id="63" w:name="fig:010"/>
      <w:r>
        <w:drawing>
          <wp:inline>
            <wp:extent cx="5334000" cy="2407447"/>
            <wp:effectExtent b="0" l="0" r="0" t="0"/>
            <wp:docPr descr="Figure 10: Модель гармонических калебаний №3" title="" id="61" name="Picture"/>
            <a:graphic>
              <a:graphicData uri="http://schemas.openxmlformats.org/drawingml/2006/picture">
                <pic:pic>
                  <pic:nvPicPr>
                    <pic:cNvPr descr="screen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10: Модель гармонических калебаний №3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подробно ознакомилась с моделями гармонических калебаний, построила фазовый портрет и решила уравнения гармонического осциллятора для трех случаев.</w:t>
      </w:r>
    </w:p>
    <w:bookmarkEnd w:id="65"/>
    <w:bookmarkStart w:id="6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66">
        <w:r>
          <w:rPr>
            <w:rStyle w:val="Hyperlink"/>
          </w:rPr>
          <w:t xml:space="preserve">Кулябов, Д.С. Модель гармонических колебаний / Д.С.Кулябов. - Москва: - 4 с.</w:t>
        </w:r>
      </w:hyperlink>
    </w:p>
    <w:p>
      <w:pPr>
        <w:numPr>
          <w:ilvl w:val="0"/>
          <w:numId w:val="1007"/>
        </w:numPr>
        <w:pStyle w:val="Compact"/>
      </w:pPr>
      <w:hyperlink r:id="rId67">
        <w:r>
          <w:rPr>
            <w:rStyle w:val="Hyperlink"/>
          </w:rPr>
          <w:t xml:space="preserve">Руководство по оформлению Markdown.</w:t>
        </w:r>
      </w:hyperlink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Кулябов, Д.С. Модель гармонических колебаний.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0" Target="media/rId40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60" Target="media/rId60.png" /><Relationship Type="http://schemas.openxmlformats.org/officeDocument/2006/relationships/hyperlink" Id="rId66" Target="https://esystem.rudn.ru/pluginfile.php/1343889/mod_resource/content/2/&#1051;&#1072;&#1073;&#1086;&#1088;&#1072;&#1090;&#1086;&#1088;&#1085;&#1072;&#1103;%20&#1088;&#1072;&#1073;&#1086;&#1090;&#1072;%20&#8470;%203.pdf" TargetMode="External" /><Relationship Type="http://schemas.openxmlformats.org/officeDocument/2006/relationships/hyperlink" Id="rId67" Target="https://gist.github.com/Jekins/2bf2d0638163f12946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esystem.rudn.ru/pluginfile.php/1343889/mod_resource/content/2/&#1051;&#1072;&#1073;&#1086;&#1088;&#1072;&#1090;&#1086;&#1088;&#1085;&#1072;&#1103;%20&#1088;&#1072;&#1073;&#1086;&#1090;&#1072;%20&#8470;%203.pdf" TargetMode="External" /><Relationship Type="http://schemas.openxmlformats.org/officeDocument/2006/relationships/hyperlink" Id="rId67" Target="https://gist.github.com/Jekins/2bf2d0638163f12946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Лукьянова Ирина Владимировна, НФИбд-02-19</dc:creator>
  <dc:language>ru-RU</dc:language>
  <cp:keywords/>
  <dcterms:created xsi:type="dcterms:W3CDTF">2022-03-03T13:52:39Z</dcterms:created>
  <dcterms:modified xsi:type="dcterms:W3CDTF">2022-03-03T13:52:39Z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