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36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Лукьянова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 работы - построить графики распространения рекламы о салоне красоты в OpenModelica, а также вычислить и сравнить эффективность рекламы для трех случаев.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40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0.12</m:t>
            </m:r>
            <m:r>
              <m:rPr>
                <m:sty m:val="p"/>
              </m:rPr>
              <m:t>+</m:t>
            </m:r>
            <m:r>
              <m:t>0.000039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0.000012</m:t>
            </m:r>
            <m:r>
              <m:rPr>
                <m:sty m:val="p"/>
              </m:rPr>
              <m:t>+</m:t>
            </m:r>
            <m:r>
              <m:t>0.29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0.12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0.29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1600</m:t>
        </m:r>
      </m:oMath>
      <w:r>
        <w:t xml:space="preserve"> </w:t>
      </w:r>
      <w:r>
        <w:t xml:space="preserve">, в начальный момент о товаре знает 13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Рассмотрим модель рекламной кампании, она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</w:t>
      </w:r>
      <w:r>
        <w:t xml:space="preserve"> </w:t>
      </w: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Также дан интервал, где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30</m:t>
            </m:r>
          </m:e>
        </m:d>
      </m:oMath>
      <w:r>
        <w:t xml:space="preserve">, а шаг равен 0.1.</w:t>
      </w:r>
    </w:p>
    <w:p>
      <w:pPr>
        <w:pStyle w:val="BodyText"/>
      </w:pPr>
      <w:r>
        <w:t xml:space="preserve">Благодаря этим данным, мы можем приступить к выполнению лабораторной работы.</w:t>
      </w:r>
    </w:p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распространения рекламы о салоне красоты.</w:t>
      </w:r>
    </w:p>
    <w:p>
      <w:pPr>
        <w:numPr>
          <w:ilvl w:val="0"/>
          <w:numId w:val="1002"/>
        </w:numPr>
        <w:pStyle w:val="Compact"/>
      </w:pPr>
      <w:r>
        <w:t xml:space="preserve">Сравнить эффективность рекламной кампании.</w:t>
      </w:r>
    </w:p>
    <w:p>
      <w:pPr>
        <w:numPr>
          <w:ilvl w:val="0"/>
          <w:numId w:val="1002"/>
        </w:numPr>
        <w:pStyle w:val="Compact"/>
      </w:pPr>
      <w:r>
        <w:t xml:space="preserve">Определить в какой момент времени эффективность рекламы будет иметь максимально быстрый рост.</w:t>
      </w:r>
    </w:p>
    <w:p>
      <w:pPr>
        <w:numPr>
          <w:ilvl w:val="0"/>
          <w:numId w:val="1002"/>
        </w:numPr>
        <w:pStyle w:val="Compact"/>
      </w:pPr>
      <w:r>
        <w:t xml:space="preserve">Построить решение, если учитывать вклад только платной рекламы.</w:t>
      </w:r>
    </w:p>
    <w:p>
      <w:pPr>
        <w:numPr>
          <w:ilvl w:val="0"/>
          <w:numId w:val="1002"/>
        </w:numPr>
        <w:pStyle w:val="Compact"/>
      </w:pPr>
      <w:r>
        <w:t xml:space="preserve">Построить решение, если предположить, что информация о товаре</w:t>
      </w:r>
      <w:r>
        <w:t xml:space="preserve"> </w:t>
      </w:r>
      <w:r>
        <w:t xml:space="preserve">распространятся только путем «сарафанного радио».</w:t>
      </w:r>
    </w:p>
    <w:p>
      <w:pPr>
        <w:pStyle w:val="FirstParagraph"/>
      </w:pPr>
      <w:r>
        <w:rPr>
          <w:bCs/>
          <w:b/>
        </w:rPr>
        <w:t xml:space="preserve">Построим график для первого случая:</w:t>
      </w:r>
    </w:p>
    <w:p>
      <w:pPr>
        <w:numPr>
          <w:ilvl w:val="0"/>
          <w:numId w:val="1003"/>
        </w:numPr>
        <w:pStyle w:val="Compact"/>
      </w:pPr>
      <w:r>
        <w:t xml:space="preserve">Записываем начальные условия: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- количество людей, знающих о товаре в начальный момент времени,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1600</m:t>
        </m:r>
      </m:oMath>
      <w:r>
        <w:t xml:space="preserve"> </w:t>
      </w:r>
      <w:r>
        <w:t xml:space="preserve">- максимальное количество людей, которых может заинтересовать товар.</w:t>
      </w:r>
    </w:p>
    <w:p>
      <w:pPr>
        <w:numPr>
          <w:ilvl w:val="0"/>
          <w:numId w:val="1003"/>
        </w:numPr>
        <w:pStyle w:val="Compact"/>
      </w:pPr>
      <w:r>
        <w:t xml:space="preserve">Далее прописываем две функции K и P для дольнейших вычислений.</w:t>
      </w:r>
    </w:p>
    <w:p>
      <w:pPr>
        <w:numPr>
          <w:ilvl w:val="0"/>
          <w:numId w:val="1003"/>
        </w:numPr>
        <w:pStyle w:val="Compact"/>
      </w:pPr>
      <w:r>
        <w:t xml:space="preserve">Записсываем дифференциальное уравнение:(рис. 1)</w:t>
      </w:r>
    </w:p>
    <w:p>
      <w:pPr>
        <w:pStyle w:val="CaptionedFigure"/>
      </w:pPr>
      <w:bookmarkStart w:id="27" w:name="fig:001"/>
      <w:r>
        <w:drawing>
          <wp:inline>
            <wp:extent cx="5334000" cy="3244921"/>
            <wp:effectExtent b="0" l="0" r="0" t="0"/>
            <wp:docPr descr="Figure 1: ДУ, функции и начальные условия" title="" id="25" name="Picture"/>
            <a:graphic>
              <a:graphicData uri="http://schemas.openxmlformats.org/drawingml/2006/picture">
                <pic:pic>
                  <pic:nvPicPr>
                    <pic:cNvPr descr="screen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ДУ, функции и начальные условия</w:t>
      </w:r>
    </w:p>
    <w:p>
      <w:pPr>
        <w:numPr>
          <w:ilvl w:val="0"/>
          <w:numId w:val="1004"/>
        </w:numPr>
        <w:pStyle w:val="Compact"/>
      </w:pPr>
      <w:r>
        <w:t xml:space="preserve">Далее строим график распространения рекламы:(рис. 2)</w:t>
      </w:r>
    </w:p>
    <w:p>
      <w:pPr>
        <w:pStyle w:val="CaptionedFigure"/>
      </w:pPr>
      <w:bookmarkStart w:id="31" w:name="fig:002"/>
      <w:r>
        <w:drawing>
          <wp:inline>
            <wp:extent cx="5334000" cy="2741897"/>
            <wp:effectExtent b="0" l="0" r="0" t="0"/>
            <wp:docPr descr="Figure 2: График распространения информации о товаре с учетом платной рекламы и с учетом сарафанного радио №1" title="" id="29" name="Picture"/>
            <a:graphic>
              <a:graphicData uri="http://schemas.openxmlformats.org/drawingml/2006/picture">
                <pic:pic>
                  <pic:nvPicPr>
                    <pic:cNvPr descr="screen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График распространения информации о товаре с учетом платной рекламы и с учетом сарафанного радио №1</w:t>
      </w:r>
    </w:p>
    <w:p>
      <w:pPr>
        <w:pStyle w:val="BodyText"/>
      </w:pPr>
      <w:r>
        <w:rPr>
          <w:bCs/>
          <w:b/>
        </w:rPr>
        <w:t xml:space="preserve">Построим график для второго случая:</w:t>
      </w:r>
    </w:p>
    <w:p>
      <w:pPr>
        <w:pStyle w:val="BodyText"/>
      </w:pPr>
      <w:r>
        <w:t xml:space="preserve">Единственное, что нам надо изменить в нашей программе - это коэффициенты в наших функциях.(рис. 3)</w:t>
      </w:r>
    </w:p>
    <w:p>
      <w:pPr>
        <w:pStyle w:val="CaptionedFigure"/>
      </w:pPr>
      <w:bookmarkStart w:id="35" w:name="fig:003"/>
      <w:r>
        <w:drawing>
          <wp:inline>
            <wp:extent cx="5334000" cy="3745395"/>
            <wp:effectExtent b="0" l="0" r="0" t="0"/>
            <wp:docPr descr="Figure 3: ДУ, функции и начальные условия №2" title="" id="33" name="Picture"/>
            <a:graphic>
              <a:graphicData uri="http://schemas.openxmlformats.org/drawingml/2006/picture">
                <pic:pic>
                  <pic:nvPicPr>
                    <pic:cNvPr descr="screen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5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ДУ, функции и начальные условия №2</w:t>
      </w:r>
    </w:p>
    <w:p>
      <w:pPr>
        <w:pStyle w:val="BodyText"/>
      </w:pPr>
      <w:r>
        <w:t xml:space="preserve">Второй случай:(рис. 4)</w:t>
      </w:r>
    </w:p>
    <w:p>
      <w:pPr>
        <w:pStyle w:val="CaptionedFigure"/>
      </w:pPr>
      <w:bookmarkStart w:id="39" w:name="fig:004"/>
      <w:r>
        <w:drawing>
          <wp:inline>
            <wp:extent cx="5334000" cy="2556659"/>
            <wp:effectExtent b="0" l="0" r="0" t="0"/>
            <wp:docPr descr="Figure 4: График распространения информации о товаре с учетом платной рекламы и с учетом сарафанного радио №2" title="" id="37" name="Picture"/>
            <a:graphic>
              <a:graphicData uri="http://schemas.openxmlformats.org/drawingml/2006/picture">
                <pic:pic>
                  <pic:nvPicPr>
                    <pic:cNvPr descr="screen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4: График распространения информации о товаре с учетом платной рекламы и с учетом сарафанного радио №2</w:t>
      </w:r>
    </w:p>
    <w:p>
      <w:pPr>
        <w:pStyle w:val="BodyText"/>
      </w:pPr>
      <w:r>
        <w:t xml:space="preserve">Определяем в какой момент времени эффективность рекламы будет иметь максимально быстрый рост:(рис. 5)</w:t>
      </w:r>
    </w:p>
    <w:p>
      <w:pPr>
        <w:pStyle w:val="CaptionedFigure"/>
      </w:pPr>
      <w:bookmarkStart w:id="43" w:name="fig:005"/>
      <w:r>
        <w:drawing>
          <wp:inline>
            <wp:extent cx="5334000" cy="2857500"/>
            <wp:effectExtent b="0" l="0" r="0" t="0"/>
            <wp:docPr descr="Figure 5: График распространения информации о товаре с учетом платной рекламы и с учетом сарафанного радио №2" title="" id="41" name="Picture"/>
            <a:graphic>
              <a:graphicData uri="http://schemas.openxmlformats.org/drawingml/2006/picture">
                <pic:pic>
                  <pic:nvPicPr>
                    <pic:cNvPr descr="screen/4.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5: График распространения информации о товаре с учетом платной рекламы и с учетом сарафанного радио №2</w:t>
      </w:r>
    </w:p>
    <w:p>
      <w:pPr>
        <w:pStyle w:val="BodyText"/>
      </w:pPr>
      <w:r>
        <w:t xml:space="preserve">Смотрим график вблизи:(рис. 6)</w:t>
      </w:r>
    </w:p>
    <w:p>
      <w:pPr>
        <w:pStyle w:val="CaptionedFigure"/>
      </w:pPr>
      <w:bookmarkStart w:id="47" w:name="fig:006"/>
      <w:r>
        <w:drawing>
          <wp:inline>
            <wp:extent cx="5334000" cy="3623387"/>
            <wp:effectExtent b="0" l="0" r="0" t="0"/>
            <wp:docPr descr="Figure 6: График распространения информации о товаре с учетом платной рекламы и с учетом сарафанного радио №2" title="" id="45" name="Picture"/>
            <a:graphic>
              <a:graphicData uri="http://schemas.openxmlformats.org/drawingml/2006/picture">
                <pic:pic>
                  <pic:nvPicPr>
                    <pic:cNvPr descr="screen/4.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6: График распространения информации о товаре с учетом платной рекламы и с учетом сарафанного радио №2</w:t>
      </w:r>
    </w:p>
    <w:p>
      <w:pPr>
        <w:pStyle w:val="BodyText"/>
      </w:pPr>
      <w:r>
        <w:rPr>
          <w:bCs/>
          <w:b/>
        </w:rPr>
        <w:t xml:space="preserve">Построим график для третьего случая:</w:t>
      </w:r>
    </w:p>
    <w:p>
      <w:pPr>
        <w:pStyle w:val="BodyText"/>
      </w:pPr>
      <w:r>
        <w:t xml:space="preserve">Снова меняем коэффициенты в наших функциях. Коэффициентные функции теперь линейные(рис. 7)</w:t>
      </w:r>
    </w:p>
    <w:p>
      <w:pPr>
        <w:pStyle w:val="CaptionedFigure"/>
      </w:pPr>
      <w:bookmarkStart w:id="51" w:name="fig:007"/>
      <w:r>
        <w:drawing>
          <wp:inline>
            <wp:extent cx="5334000" cy="2484404"/>
            <wp:effectExtent b="0" l="0" r="0" t="0"/>
            <wp:docPr descr="Figure 7: ДУ, функции и начальные условия №3" title="" id="49" name="Picture"/>
            <a:graphic>
              <a:graphicData uri="http://schemas.openxmlformats.org/drawingml/2006/picture">
                <pic:pic>
                  <pic:nvPicPr>
                    <pic:cNvPr descr="screen/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7: ДУ, функции и начальные условия №3</w:t>
      </w:r>
    </w:p>
    <w:p>
      <w:pPr>
        <w:pStyle w:val="BodyText"/>
      </w:pPr>
      <w:r>
        <w:t xml:space="preserve">Третий случай:(рис. 8)</w:t>
      </w:r>
    </w:p>
    <w:p>
      <w:pPr>
        <w:pStyle w:val="CaptionedFigure"/>
      </w:pPr>
      <w:bookmarkStart w:id="55" w:name="fig:008"/>
      <w:r>
        <w:drawing>
          <wp:inline>
            <wp:extent cx="5334000" cy="3169795"/>
            <wp:effectExtent b="0" l="0" r="0" t="0"/>
            <wp:docPr descr="Figure 8: График распространения информации о товаре с учетом платной рекламы и с учетом сарафанного радио №3" title="" id="53" name="Picture"/>
            <a:graphic>
              <a:graphicData uri="http://schemas.openxmlformats.org/drawingml/2006/picture">
                <pic:pic>
                  <pic:nvPicPr>
                    <pic:cNvPr descr="screen/6.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8: График распространения информации о товаре с учетом платной рекламы и с учетом сарафанного радио №3</w:t>
      </w:r>
    </w:p>
    <w:p>
      <w:pPr>
        <w:pStyle w:val="BodyText"/>
      </w:pPr>
      <w:r>
        <w:t xml:space="preserve">Смотрим график вблизи:(рис. 9)</w:t>
      </w:r>
    </w:p>
    <w:p>
      <w:pPr>
        <w:pStyle w:val="CaptionedFigure"/>
      </w:pPr>
      <w:bookmarkStart w:id="59" w:name="fig:009"/>
      <w:r>
        <w:drawing>
          <wp:inline>
            <wp:extent cx="5334000" cy="3743895"/>
            <wp:effectExtent b="0" l="0" r="0" t="0"/>
            <wp:docPr descr="Figure 9: График распространения информации о товаре с учетом платной рекламы и с учетом сарафанного радио №2" title="" id="57" name="Picture"/>
            <a:graphic>
              <a:graphicData uri="http://schemas.openxmlformats.org/drawingml/2006/picture">
                <pic:pic>
                  <pic:nvPicPr>
                    <pic:cNvPr descr="screen/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9: График распространения информации о товаре с учетом платной рекламы и с учетом сарафанного радио №2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построила графики распространения рекламы о салоне красоты в OpenModelica, а также вычислила и сравнила эффективность рекламы для трех случаев.</w:t>
      </w:r>
    </w:p>
    <w:bookmarkEnd w:id="61"/>
    <w:bookmarkStart w:id="6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62">
        <w:r>
          <w:rPr>
            <w:rStyle w:val="Hyperlink"/>
          </w:rPr>
          <w:t xml:space="preserve">Кулябов, Д.С. Эффективность рекламы / Д.С.Кулябов. - Москва: - 5 с.</w:t>
        </w:r>
      </w:hyperlink>
    </w:p>
    <w:p>
      <w:pPr>
        <w:numPr>
          <w:ilvl w:val="0"/>
          <w:numId w:val="1005"/>
        </w:numPr>
        <w:pStyle w:val="Compact"/>
      </w:pPr>
      <w:hyperlink r:id="rId63">
        <w:r>
          <w:rPr>
            <w:rStyle w:val="Hyperlink"/>
          </w:rPr>
          <w:t xml:space="preserve">Руководство по оформлению Markdown.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Кулябов, Д.С. Эффективность рекламы.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62" Target="https://esystem.rudn.ru/pluginfile.php/1343901/mod_resource/content/2/&#1051;&#1072;&#1073;&#1086;&#1088;&#1072;&#1090;&#1086;&#1088;&#1085;&#1072;&#1103;%20&#1088;&#1072;&#1073;&#1086;&#1090;&#1072;%20&#8470;%206.pdf" TargetMode="External" /><Relationship Type="http://schemas.openxmlformats.org/officeDocument/2006/relationships/hyperlink" Id="rId63" Target="https://gist.github.com/Jekins/2bf2d0638163f12946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esystem.rudn.ru/pluginfile.php/1343901/mod_resource/content/2/&#1051;&#1072;&#1073;&#1086;&#1088;&#1072;&#1090;&#1086;&#1088;&#1085;&#1072;&#1103;%20&#1088;&#1072;&#1073;&#1086;&#1090;&#1072;%20&#8470;%206.pdf" TargetMode="External" /><Relationship Type="http://schemas.openxmlformats.org/officeDocument/2006/relationships/hyperlink" Id="rId63" Target="https://gist.github.com/Jekins/2bf2d0638163f12946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Лукьянова Ирина Владимировна, НФИбд-02-19</dc:creator>
  <dc:language>ru-RU</dc:language>
  <cp:keywords/>
  <dcterms:created xsi:type="dcterms:W3CDTF">2022-03-15T13:35:04Z</dcterms:created>
  <dcterms:modified xsi:type="dcterms:W3CDTF">2022-03-15T13:35:04Z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List of Figures</vt:lpwstr>
  </property>
  <property fmtid="{D5CDD505-2E9C-101B-9397-08002B2CF9AE}" pid="42" name="lolTitle">
    <vt:lpwstr>List of Listings</vt:lpwstr>
  </property>
  <property fmtid="{D5CDD505-2E9C-101B-9397-08002B2CF9AE}" pid="43" name="lot">
    <vt:lpwstr>True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