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UNKP</w:t>
      </w:r>
      <w:r>
        <w:t xml:space="preserve"> </w:t>
      </w:r>
      <w:r>
        <w:t xml:space="preserve">Szakmai</w:t>
      </w:r>
      <w:r>
        <w:t xml:space="preserve"> </w:t>
      </w:r>
      <w:r>
        <w:t xml:space="preserve">beszámoló</w:t>
      </w:r>
    </w:p>
    <w:p>
      <w:pPr>
        <w:pStyle w:val="Author"/>
      </w:pPr>
      <w:r>
        <w:t xml:space="preserve">Illés</w:t>
      </w:r>
      <w:r>
        <w:t xml:space="preserve"> </w:t>
      </w:r>
      <w:r>
        <w:t xml:space="preserve">Gergő</w:t>
      </w:r>
      <w:r>
        <w:t xml:space="preserve"> </w:t>
      </w:r>
      <w:r>
        <w:t xml:space="preserve">-</w:t>
      </w:r>
      <w:r>
        <w:t xml:space="preserve"> </w:t>
      </w:r>
      <w:r>
        <w:t xml:space="preserve">HHU75J</w:t>
      </w:r>
    </w:p>
    <w:p>
      <w:pPr>
        <w:pStyle w:val="FirstParagraph"/>
      </w:pPr>
      <w:r>
        <w:t xml:space="preserve">Tisztelt Miseta Attila! Ezen beszámolóban szeretném ismertetni Önnel, hogy a 10 hónapos ösztöndíjas időszak alatt milyen eredményeket sikerült elérni.</w:t>
      </w:r>
    </w:p>
    <w:bookmarkStart w:id="22" w:name="X496cfc048a0c92fd25fcc95e176aad94561d372"/>
    <w:p>
      <w:pPr>
        <w:pStyle w:val="Heading1"/>
      </w:pPr>
      <w:r>
        <w:t xml:space="preserve">A kutatási tervben említettek teljesítéséről</w:t>
      </w:r>
    </w:p>
    <w:bookmarkStart w:id="20" w:name="első-szakasz-5-hónap"/>
    <w:p>
      <w:pPr>
        <w:pStyle w:val="Heading2"/>
      </w:pPr>
      <w:r>
        <w:t xml:space="preserve">Első szakasz (5 hónap)</w:t>
      </w:r>
    </w:p>
    <w:p>
      <w:pPr>
        <w:pStyle w:val="FirstParagraph"/>
      </w:pPr>
      <w:r>
        <w:t xml:space="preserve">A szeptembertől januárig tartó 5 hónapra terveztük a</w:t>
      </w:r>
      <w:r>
        <w:t xml:space="preserve"> </w:t>
      </w:r>
      <w:r>
        <w:rPr>
          <w:iCs/>
          <w:i/>
        </w:rPr>
        <w:t xml:space="preserve">,,Terahertzes impulzusok előállítása mikrostrukturált lítium niobát kristályban”</w:t>
      </w:r>
      <w:r>
        <w:t xml:space="preserve"> </w:t>
      </w:r>
      <w:r>
        <w:t xml:space="preserve">című TDK dolgozatban bemutatott eredményeit felhasználva illetve azokat bővítve egy nemzetközi publikációt megírni. Ez meg is valósult a 2022. március 22. és 25. között az amerikai Optica (előzőleg OSA) által megrendezésre került High-Brightness Sources and Light-Driven Interactions Congress keretein belül</w:t>
      </w:r>
      <w:r>
        <w:t xml:space="preserve"> </w:t>
      </w:r>
      <w:r>
        <w:t xml:space="preserve">. A konferencián az anyag poszter formájában került bemutatásra, amely poszter kéziratának leadási határideje 2021. december 21. volt. A poszteren szerepeltek a TDK dolgozatban bemutatott eredmények amelyek bemutatták, hogy az egyes geometriai paraméterek megváltoztatása hogyan befolyásolják a keletkező terahertzes (továbbiakban THz-es) impulzusok alakját a nyaláb keresztmetszete mentén. A poszter tárgyalta még az elrendezésben használt optikai rács orientációjának fontosságát, számítási eredményeket mutat be arról, hogy a Littrow-szögtől való eltérés függvényében hogyan változik az elrendezés hatásfoka. Új eredményként bemutatásra került egy olyan számítássorozat amely vizsgálja azt, hogy a kristályhossz és a pumpa nyalábméretének függvényében hogy alakul egy optimalizált elrendezés hatásfoka, illetve az elrendezés által keltett THz-es impulzus energiája.</w:t>
      </w:r>
    </w:p>
    <w:p>
      <w:pPr>
        <w:pStyle w:val="BodyText"/>
      </w:pPr>
      <w:r>
        <w:t xml:space="preserve">Ezzel egy időben megkezdtük egy új THz-es numerikus modell elkészítését amely már figyelembe veszi a THz-es jel visszahatását a pumpaimpulzusra. Ezen modell elkészítéshez</w:t>
      </w:r>
      <w:r>
        <w:t xml:space="preserve"> </w:t>
      </w:r>
      <w:r>
        <w:t xml:space="preserve"> </w:t>
      </w:r>
      <w:r>
        <w:t xml:space="preserve">cikket vettük alapul. A modell elkészítésekor a nehézséget a csatolt differenciálegyenlet rendszer megoldása okozta. Ehhez saját magam írtam egy olyan kódot ami tetszőleges számú tagból álló első fokú differenciálegyenlet-rendszert képes megoldani negyed rendű Runge-Kutta módszerrel. Megkezdtük a kód tesztelését technikai szempontból. Vizsgáltuk a szükséges térbeli, illetve időbeli felbontást olyan tekintetben, hogy milyen felbontások szükségesek a stabil megoldásához. Fizikailag és informatikailag optimalizáltuk a kódot gyorsabb futási idők elérése érdekében. Egyes számítások amelyek ezen kód készültségének korai fázisában készültek szintén bemutatásra kerültek a igh-Brightness Sources and Light-Driven Interactions Congress-en rövid előadás formájában</w:t>
      </w:r>
      <w:r>
        <w:t xml:space="preserve"> </w:t>
      </w:r>
      <w:r>
        <w:t xml:space="preserve">.</w:t>
      </w:r>
    </w:p>
    <w:bookmarkEnd w:id="20"/>
    <w:bookmarkStart w:id="21" w:name="második-szakasz-5-hónap"/>
    <w:p>
      <w:pPr>
        <w:pStyle w:val="Heading2"/>
      </w:pPr>
      <w:r>
        <w:t xml:space="preserve">Második szakasz (5 hónap)</w:t>
      </w:r>
    </w:p>
    <w:p>
      <w:pPr>
        <w:pStyle w:val="FirstParagraph"/>
      </w:pPr>
      <w:r>
        <w:t xml:space="preserve">A második szakaszban ezen 1D+1-es kód továbbfejlesztésén dolgoztam elsősorban, valamint részletesen vizsgáltam a kapott eredményeket az egyszerűbb visszahatás nélküli modellel összehasonlítva. Ezen összehasonlítások elsősorban a keltési hatásfokra, valamint a THz-es térerősség időbeli alakjára vonatkoztak. Ezek a számítások azt mutatták hogy a döntött impulzusfrontú gerjesztés elrendezésnél a visszahatás következtében a hatásfok átlagosan ötödére csökkent, a kristályhossz amelynél a hatásfok maximális szintén átlagosan a negyedére esett vissza. A</w:t>
      </w:r>
      <w:r>
        <w:t xml:space="preserve"> </w:t>
      </w:r>
      <w:r>
        <w:rPr>
          <w:iCs/>
          <w:i/>
        </w:rPr>
        <w:t xml:space="preserve">,,Terahertzes impulzusok terjedésének és keltésének modellezése”</w:t>
      </w:r>
      <w:r>
        <w:t xml:space="preserve"> </w:t>
      </w:r>
      <w:r>
        <w:t xml:space="preserve">című szakdolgozatomban részletesen beszámoltam a két modell közti különbségről.</w:t>
      </w:r>
    </w:p>
    <w:p>
      <w:pPr>
        <w:pStyle w:val="BodyText"/>
      </w:pPr>
      <w:r>
        <w:t xml:space="preserve">Tovább vizsgáltam az új visszahatásos modellt egy optimális beállítást keresve. Optimalizáltam az elrendezést a pumpaimpulzus hossza, pumpáló intenzitás és az impulzusfront döntés szöge szerint. Megvizsgáltam hogy ezen paraméterek hogyan alakítják a keltési hatásfokot, valamint vizsgáltam a THz-es impulzus időbeli alakját és spektrumát.</w:t>
      </w:r>
    </w:p>
    <w:p>
      <w:pPr>
        <w:pStyle w:val="BodyText"/>
      </w:pPr>
      <w:r>
        <w:t xml:space="preserve">A szakdolgozat írásával egy időben elkezdtünk fejleszteni egy olyan modellt ami már 2 térbeli dimenzióban számol. Ezen modellt alapját</w:t>
      </w:r>
      <w:r>
        <w:t xml:space="preserve"> </w:t>
      </w:r>
      <w:r>
        <w:t xml:space="preserve"> </w:t>
      </w:r>
      <w:r>
        <w:t xml:space="preserve">képzi. Az itt bemutatott módszer előnyös, mert a parciális differenciálegyenleteket Fourier-transzformálásokon keresztül közönséges differenciálegyenletekké alakíthatók. Így nincs szükség végeselem módszerek használatára ami azt jelenti hogy a számítások gyorsabban futhatnak kevesebb memóriahasználat mellett. A cikkben azonban vannak matematikai hibák, amelyek lassították a modell fejlesztését. Nehézséget okoz továbbá az is, hogy a két dimenzió miatt a számítások sok memóriát használnak fel annak ellenére hogy nem végeselem módszerekkel dolgozunk. Ezt úgy tudjuk enyhíteni ha csökkentjük a térbeli és időbeli felbontást, ekkor azonban már jelentkezhetnek numerikus hibák. A modell eddig a döntött frontú pumpaimpulzus lineáris terjedését képes modellezni, aminek helyességét analitikus formulák által kapott eredményekkel validáltuk.</w:t>
      </w:r>
    </w:p>
    <w:p>
      <w:pPr>
        <w:pStyle w:val="BodyText"/>
      </w:pPr>
      <w:r>
        <w:t xml:space="preserve">A modellt további munka során be fogjuk fejezni, mert számos lehetőséget tartogat. Számunkra a legfontosabb az, hogy ezzel a modellel már képesek leszünk olyan elrendezéseket modellezni nagy pontossággal amelyek felülete mikroszkopikusan megmunkált mint például a leképzés nélküli echelon elrendezés</w:t>
      </w:r>
      <w:r>
        <w:t xml:space="preserve"> 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UNKP Szakmai beszámoló</dc:title>
  <dc:creator>Illés Gergő - HHU75J</dc:creator>
  <cp:keywords/>
  <dcterms:created xsi:type="dcterms:W3CDTF">2022-07-02T08:55:15Z</dcterms:created>
  <dcterms:modified xsi:type="dcterms:W3CDTF">2022-07-02T08:55:15Z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irodalomjegyzek.bib</vt:lpwstr>
  </property>
  <property fmtid="{D5CDD505-2E9C-101B-9397-08002B2CF9AE}" pid="3" name="date">
    <vt:lpwstr/>
  </property>
</Properties>
</file>