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AAC4" w14:textId="56B68486" w:rsidR="00940346" w:rsidRDefault="00BE145B" w:rsidP="00940346">
      <w:pPr>
        <w:pStyle w:val="Abstract"/>
        <w:jc w:val="center"/>
      </w:pPr>
      <w:proofErr w:type="spellStart"/>
      <w:r w:rsidRPr="00940346">
        <w:rPr>
          <w:b/>
          <w:bCs/>
          <w:sz w:val="32"/>
          <w:szCs w:val="32"/>
        </w:rPr>
        <w:t>Hátoldali</w:t>
      </w:r>
      <w:proofErr w:type="spellEnd"/>
      <w:r w:rsidRPr="00940346">
        <w:rPr>
          <w:b/>
          <w:bCs/>
          <w:sz w:val="32"/>
          <w:szCs w:val="32"/>
        </w:rPr>
        <w:t xml:space="preserve"> </w:t>
      </w:r>
      <w:proofErr w:type="spellStart"/>
      <w:r w:rsidRPr="00940346">
        <w:rPr>
          <w:b/>
          <w:bCs/>
          <w:sz w:val="32"/>
          <w:szCs w:val="32"/>
        </w:rPr>
        <w:t>reflexiós</w:t>
      </w:r>
      <w:proofErr w:type="spellEnd"/>
      <w:r w:rsidRPr="00940346">
        <w:rPr>
          <w:b/>
          <w:bCs/>
          <w:sz w:val="32"/>
          <w:szCs w:val="32"/>
        </w:rPr>
        <w:t xml:space="preserve"> echelon </w:t>
      </w:r>
      <w:proofErr w:type="spellStart"/>
      <w:r w:rsidRPr="00940346">
        <w:rPr>
          <w:b/>
          <w:bCs/>
          <w:sz w:val="32"/>
          <w:szCs w:val="32"/>
        </w:rPr>
        <w:t>terahertzes</w:t>
      </w:r>
      <w:proofErr w:type="spellEnd"/>
      <w:r w:rsidRPr="00940346">
        <w:rPr>
          <w:b/>
          <w:bCs/>
          <w:sz w:val="32"/>
          <w:szCs w:val="32"/>
        </w:rPr>
        <w:t xml:space="preserve"> forrás </w:t>
      </w:r>
      <w:proofErr w:type="spellStart"/>
      <w:r w:rsidRPr="00940346">
        <w:rPr>
          <w:b/>
          <w:bCs/>
          <w:sz w:val="32"/>
          <w:szCs w:val="32"/>
        </w:rPr>
        <w:t>optimalizálása</w:t>
      </w:r>
      <w:proofErr w:type="spellEnd"/>
      <w:r w:rsidRPr="00940346">
        <w:rPr>
          <w:b/>
          <w:bCs/>
          <w:sz w:val="32"/>
          <w:szCs w:val="32"/>
        </w:rPr>
        <w:t xml:space="preserve"> </w:t>
      </w:r>
      <w:proofErr w:type="spellStart"/>
      <w:r w:rsidRPr="00940346">
        <w:rPr>
          <w:b/>
          <w:bCs/>
          <w:sz w:val="32"/>
          <w:szCs w:val="32"/>
        </w:rPr>
        <w:t>numerikus</w:t>
      </w:r>
      <w:proofErr w:type="spellEnd"/>
      <w:r w:rsidRPr="00940346">
        <w:rPr>
          <w:b/>
          <w:bCs/>
          <w:sz w:val="32"/>
          <w:szCs w:val="32"/>
        </w:rPr>
        <w:t xml:space="preserve"> </w:t>
      </w:r>
      <w:proofErr w:type="spellStart"/>
      <w:r w:rsidRPr="00940346">
        <w:rPr>
          <w:b/>
          <w:bCs/>
          <w:sz w:val="32"/>
          <w:szCs w:val="32"/>
        </w:rPr>
        <w:t>számításokon</w:t>
      </w:r>
      <w:proofErr w:type="spellEnd"/>
      <w:r w:rsidRPr="00940346">
        <w:rPr>
          <w:b/>
          <w:bCs/>
          <w:sz w:val="32"/>
          <w:szCs w:val="32"/>
        </w:rPr>
        <w:t xml:space="preserve"> </w:t>
      </w:r>
      <w:proofErr w:type="spellStart"/>
      <w:r w:rsidRPr="00940346">
        <w:rPr>
          <w:b/>
          <w:bCs/>
          <w:sz w:val="32"/>
          <w:szCs w:val="32"/>
        </w:rPr>
        <w:t>keresztül</w:t>
      </w:r>
      <w:proofErr w:type="spellEnd"/>
      <w:r w:rsidR="00940346">
        <w:rPr>
          <w:b/>
          <w:bCs/>
          <w:sz w:val="32"/>
          <w:szCs w:val="32"/>
        </w:rPr>
        <w:br/>
      </w:r>
      <w:r w:rsidRPr="00940346">
        <w:rPr>
          <w:sz w:val="32"/>
          <w:szCs w:val="32"/>
        </w:rPr>
        <w:br/>
      </w:r>
      <w:r>
        <w:t xml:space="preserve">Illés Gergő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,*</m:t>
            </m:r>
          </m:sup>
        </m:sSup>
      </m:oMath>
      <w:r>
        <w:t xml:space="preserve">, Krizsán Gergő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Pálfalvi László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, Tibai Zoltán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, Almási Gábor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, Hebling János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Tóth György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i/>
          <w:iCs/>
        </w:rPr>
        <w:t xml:space="preserve"> Pécsi Tudományegyetem, Fizikai Intézet, Pécs, Magyarország</w:t>
      </w:r>
      <w: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/>
          <w:iCs/>
        </w:rPr>
        <w:t xml:space="preserve"> Szentágothai János Kutatóközpont, Pécs, Magyarország</w:t>
      </w:r>
      <w: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i/>
          <w:iCs/>
        </w:rPr>
        <w:t xml:space="preserve"> ELKH-PTE ?Nagy Térerősségű Terahertzes Kutatócsoport?, Pécs, M</w:t>
      </w:r>
      <w:r>
        <w:rPr>
          <w:i/>
          <w:iCs/>
        </w:rPr>
        <w:t>agyarország</w:t>
      </w:r>
      <w: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i/>
          <w:iCs/>
        </w:rPr>
        <w:t xml:space="preserve"> illesg@gamma.ttk.pte.hu</w:t>
      </w:r>
    </w:p>
    <w:p w14:paraId="7AB1EC46" w14:textId="195F4AED" w:rsidR="0026797F" w:rsidRPr="00940346" w:rsidRDefault="00940346" w:rsidP="00940346">
      <w:pPr>
        <w:pStyle w:val="Abstract"/>
        <w:ind w:left="851" w:right="901" w:firstLine="3402"/>
        <w:jc w:val="both"/>
        <w:rPr>
          <w:b/>
          <w:bCs/>
        </w:rPr>
      </w:pPr>
      <w:proofErr w:type="spellStart"/>
      <w:r w:rsidRPr="00940346">
        <w:rPr>
          <w:b/>
          <w:bCs/>
        </w:rPr>
        <w:t>Kivonat</w:t>
      </w:r>
      <w:proofErr w:type="spellEnd"/>
      <w:r w:rsidRPr="00940346">
        <w:rPr>
          <w:b/>
          <w:bCs/>
        </w:rPr>
        <w:t>:</w:t>
      </w:r>
      <w:r w:rsidRPr="00940346">
        <w:rPr>
          <w:b/>
          <w:bCs/>
        </w:rPr>
        <w:br/>
      </w:r>
      <w:r>
        <w:t xml:space="preserve">Az </w:t>
      </w:r>
      <w:proofErr w:type="spellStart"/>
      <w:r>
        <w:t>optikai</w:t>
      </w:r>
      <w:proofErr w:type="spellEnd"/>
      <w:r>
        <w:t xml:space="preserve"> </w:t>
      </w:r>
      <w:proofErr w:type="spellStart"/>
      <w:r>
        <w:t>terahertzes</w:t>
      </w:r>
      <w:proofErr w:type="spellEnd"/>
      <w:r>
        <w:t xml:space="preserve"> </w:t>
      </w:r>
      <w:proofErr w:type="spellStart"/>
      <w:r>
        <w:t>források</w:t>
      </w:r>
      <w:proofErr w:type="spellEnd"/>
      <w:r>
        <w:t xml:space="preserve"> </w:t>
      </w:r>
      <w:proofErr w:type="spellStart"/>
      <w:r>
        <w:t>fejlődésével</w:t>
      </w:r>
      <w:proofErr w:type="spellEnd"/>
      <w:r>
        <w:t xml:space="preserve"> </w:t>
      </w:r>
      <w:proofErr w:type="spellStart"/>
      <w:r>
        <w:t>lehetőség</w:t>
      </w:r>
      <w:proofErr w:type="spellEnd"/>
      <w:r>
        <w:t xml:space="preserve"> </w:t>
      </w:r>
      <w:proofErr w:type="spellStart"/>
      <w:r>
        <w:t>nyílt</w:t>
      </w:r>
      <w:proofErr w:type="spellEnd"/>
      <w:r>
        <w:t xml:space="preserve"> arra, hogy 1 mJ nagyságrendű impulzusenergiákat állítsunk elő [1]. Ezt az impulzusenergiát a döntött impulzusfrontú gerjesztés módszerét [2] használva sikerült elérni. Azonban a döntött impulzusfrontú gerjesztés módszerének számos korlátozó tényezője van. Az első, hogy a kristály nagy ékszöggel rendelkezik, a második, hogy a nagy impulzusfront-döntés következtében a pumpaimpulzus nagymértékű szögdiszperzióval rendelkezik, a harmadik pedig, hogy az elrendezésben használt leképző rendszer nem tökéletes, leképzési hibák keletkeznek. Ezen hibák enyhítésére lehetőséget ad a hátoldali reflexiós elrendezés [3], [4]. A Pécsi Terahertzes kutatócsoport már végzett számításokat az elrendezésen, azonban az akkor használt modell nem vette figyelembe a terahertzes </w:t>
      </w:r>
      <w:proofErr w:type="spellStart"/>
      <w:r>
        <w:t>impulzus</w:t>
      </w:r>
      <w:proofErr w:type="spellEnd"/>
      <w:r>
        <w:t xml:space="preserve"> </w:t>
      </w:r>
      <w:proofErr w:type="spellStart"/>
      <w:r>
        <w:t>visszahatását</w:t>
      </w:r>
      <w:proofErr w:type="spellEnd"/>
      <w:r>
        <w:t xml:space="preserve"> a </w:t>
      </w:r>
      <w:proofErr w:type="spellStart"/>
      <w:r>
        <w:t>pumpaimpulzusra</w:t>
      </w:r>
      <w:proofErr w:type="spellEnd"/>
      <w:r>
        <w:t>.</w:t>
      </w:r>
    </w:p>
    <w:p w14:paraId="16C22421" w14:textId="77777777" w:rsidR="0026797F" w:rsidRPr="00F47158" w:rsidRDefault="00BE145B">
      <w:pPr>
        <w:pStyle w:val="Cmsor1"/>
        <w:rPr>
          <w:color w:val="auto"/>
        </w:rPr>
      </w:pPr>
      <w:bookmarkStart w:id="0" w:name="az-elrendezés-vázlata"/>
      <w:r w:rsidRPr="00F47158">
        <w:rPr>
          <w:color w:val="auto"/>
        </w:rPr>
        <w:t>A</w:t>
      </w:r>
      <w:r w:rsidRPr="00F47158">
        <w:rPr>
          <w:color w:val="auto"/>
        </w:rPr>
        <w:t>z elrendezés vázlata</w:t>
      </w:r>
    </w:p>
    <w:p w14:paraId="30F0D2A4" w14:textId="77777777" w:rsidR="0026797F" w:rsidRDefault="00BE145B" w:rsidP="00940346">
      <w:pPr>
        <w:pStyle w:val="FirstParagraph"/>
        <w:jc w:val="both"/>
      </w:pPr>
      <w:r>
        <w:t>A hátoldali reflexiós echelon elrendezés sematikus ábráját az 1. ábra mutatja be.</w:t>
      </w:r>
    </w:p>
    <w:p w14:paraId="21CDB073" w14:textId="2B15783D" w:rsidR="0026797F" w:rsidRDefault="00940346" w:rsidP="00940346">
      <w:pPr>
        <w:pStyle w:val="CaptionedFigure"/>
        <w:jc w:val="center"/>
      </w:pPr>
      <w:r w:rsidRPr="00940346">
        <w:drawing>
          <wp:inline distT="0" distB="0" distL="0" distR="0" wp14:anchorId="71B295D9" wp14:editId="51338839">
            <wp:extent cx="3773509" cy="2879677"/>
            <wp:effectExtent l="0" t="0" r="0" b="0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60" cy="28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0191" w14:textId="77777777" w:rsidR="0026797F" w:rsidRDefault="00BE145B" w:rsidP="00940346">
      <w:pPr>
        <w:pStyle w:val="ImageCaption"/>
        <w:jc w:val="center"/>
      </w:pPr>
      <w:r>
        <w:t>A hátoldali reflexiós echelon sematikus ábrája [4]</w:t>
      </w:r>
    </w:p>
    <w:p w14:paraId="2104170E" w14:textId="77777777" w:rsidR="0026797F" w:rsidRDefault="00BE145B" w:rsidP="00940346">
      <w:pPr>
        <w:pStyle w:val="Szvegtrzs"/>
        <w:jc w:val="both"/>
      </w:pPr>
      <w:r>
        <w:lastRenderedPageBreak/>
        <w:t>Az elrendezés úgy működik, hogy a pumpaimpulzus a kristályra</w:t>
      </w:r>
      <w:r>
        <w:t xml:space="preserve"> merőlegesen lép be, majd a kristály hátoldalához érve, a megmunkált felületen diffraktálódik. Ezen megmunkálásnak olyannak kell lennie, diffrakció következtében a kialakuló impulzusfrontdöntés megfeleljen a sebességillesztési feltételnek [2]. Amennyiben e</w:t>
      </w:r>
      <w:r>
        <w:t>z teljesül úgy hatékonyan fog keletkezni a terahertzes (továbbiakban THz-es) impulzus. Az keletkező THz-es impulzus a kristály belépő felületén fog távozni, haladási iránya pedig merőleges lesz erre a felületre, aminek következtében nagy hatásfokú lesz a k</w:t>
      </w:r>
      <w:r>
        <w:t>icsatolás.</w:t>
      </w:r>
    </w:p>
    <w:p w14:paraId="34F545D5" w14:textId="77777777" w:rsidR="0026797F" w:rsidRPr="00F47158" w:rsidRDefault="00BE145B">
      <w:pPr>
        <w:pStyle w:val="Cmsor1"/>
        <w:rPr>
          <w:color w:val="auto"/>
        </w:rPr>
      </w:pPr>
      <w:bookmarkStart w:id="1" w:name="numerikus-modell"/>
      <w:bookmarkEnd w:id="0"/>
      <w:r w:rsidRPr="00F47158">
        <w:rPr>
          <w:color w:val="auto"/>
        </w:rPr>
        <w:t>Numerikus modell</w:t>
      </w:r>
    </w:p>
    <w:p w14:paraId="4084DCBD" w14:textId="77777777" w:rsidR="0026797F" w:rsidRDefault="00BE145B" w:rsidP="00940346">
      <w:pPr>
        <w:pStyle w:val="FirstParagraph"/>
        <w:jc w:val="both"/>
      </w:pPr>
      <w:r>
        <w:t>A számítások olyan numerikus modellel készültek amelyek figyelembe veszik a THz-es impulzus visszahatását a pumpaimpulzusra [5]. A döntött impulzusfrontú gerjesztési technika modellezésénél azt tapasztaltuk, hogy a visszahatás k</w:t>
      </w:r>
      <w:r>
        <w:t xml:space="preserve">övetkeztében nagy mértékben csökken az elérhető maximális térerősséget, valamint azt, hogy azon kristályhossz ahol a hatásfok maximális rövidebb lesz. További számolások során megállapítottuk, hogy a maximális hatásfokhoz tartozó kristályhosszt túllépve a </w:t>
      </w:r>
      <w:r>
        <w:t>THz-es impulzus megszűnik egyciklusúnak, a térerősségének maximuma nagymértékben csökken és ezáltal használhatatlanná válik. Az itt bemutatott eredményeket a [5]-ben bemutatott modell módosított változatával kaptuk.</w:t>
      </w:r>
    </w:p>
    <w:p w14:paraId="441508C4" w14:textId="77777777" w:rsidR="0026797F" w:rsidRPr="00F47158" w:rsidRDefault="00BE145B">
      <w:pPr>
        <w:pStyle w:val="Cmsor1"/>
        <w:rPr>
          <w:color w:val="auto"/>
        </w:rPr>
      </w:pPr>
      <w:bookmarkStart w:id="2" w:name="eredmények"/>
      <w:bookmarkEnd w:id="1"/>
      <w:r w:rsidRPr="00F47158">
        <w:rPr>
          <w:color w:val="auto"/>
        </w:rPr>
        <w:t>Eredmények</w:t>
      </w:r>
    </w:p>
    <w:p w14:paraId="75FE1354" w14:textId="77777777" w:rsidR="0026797F" w:rsidRPr="00F47158" w:rsidRDefault="00BE145B">
      <w:pPr>
        <w:pStyle w:val="Cmsor2"/>
        <w:rPr>
          <w:color w:val="auto"/>
        </w:rPr>
      </w:pPr>
      <w:bookmarkStart w:id="3" w:name="hatásfok"/>
      <w:r w:rsidRPr="00F47158">
        <w:rPr>
          <w:color w:val="auto"/>
        </w:rPr>
        <w:t>Hatásfok</w:t>
      </w:r>
    </w:p>
    <w:p w14:paraId="2F386C56" w14:textId="49445A21" w:rsidR="0026797F" w:rsidRDefault="00BE145B" w:rsidP="00940346">
      <w:pPr>
        <w:pStyle w:val="FirstParagraph"/>
        <w:jc w:val="both"/>
      </w:pPr>
      <w:r>
        <w:t>Először vizsgáljuk a</w:t>
      </w:r>
      <w:r>
        <w:t xml:space="preserve">z echelon elrendezés hatásfokát a döntött impulzusfrontú gerjesztés (továbbiakban TPF) elrendezés hatásfokával összehasonlítva. A számításokat 1030 nm-es központi hullámhosszú, 200 fs-os pumpaimpulzust feltételezve végeztük. Az eredményeket a 2. </w:t>
      </w:r>
      <w:proofErr w:type="spellStart"/>
      <w:r>
        <w:t>ábra</w:t>
      </w:r>
      <w:proofErr w:type="spellEnd"/>
      <w:r>
        <w:t xml:space="preserve"> </w:t>
      </w:r>
      <w:proofErr w:type="spellStart"/>
      <w:r>
        <w:t>mutat</w:t>
      </w:r>
      <w:r>
        <w:t>ja</w:t>
      </w:r>
      <w:proofErr w:type="spellEnd"/>
      <w:r>
        <w:t>.</w:t>
      </w:r>
      <w:r w:rsidR="00940346" w:rsidRPr="00940346">
        <w:t xml:space="preserve"> </w:t>
      </w:r>
    </w:p>
    <w:p w14:paraId="22A0EB99" w14:textId="7B13C48E" w:rsidR="0026797F" w:rsidRDefault="00940346" w:rsidP="00940346">
      <w:pPr>
        <w:pStyle w:val="CaptionedFigure"/>
        <w:jc w:val="center"/>
      </w:pPr>
      <w:r w:rsidRPr="00940346">
        <w:lastRenderedPageBreak/>
        <w:drawing>
          <wp:inline distT="0" distB="0" distL="0" distR="0" wp14:anchorId="4068647C" wp14:editId="5F56897F">
            <wp:extent cx="4094329" cy="3696475"/>
            <wp:effectExtent l="0" t="0" r="0" b="0"/>
            <wp:docPr id="2" name="Ábr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502" cy="373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0395" w14:textId="77777777" w:rsidR="0026797F" w:rsidRDefault="00BE145B" w:rsidP="00940346">
      <w:pPr>
        <w:pStyle w:val="ImageCaption"/>
        <w:jc w:val="center"/>
      </w:pPr>
      <w:r>
        <w:t>A TPF és az echelon elrendezés hatásfoka</w:t>
      </w:r>
    </w:p>
    <w:p w14:paraId="14452B0C" w14:textId="77777777" w:rsidR="0026797F" w:rsidRDefault="00BE145B" w:rsidP="00940346">
      <w:pPr>
        <w:pStyle w:val="Szvegtrzs"/>
        <w:jc w:val="both"/>
      </w:pPr>
      <w:r>
        <w:t>Az ábrán látható, hogy amíg a TPF elrendezés hatásfoka 2% 0,5 mm-es kristályhossz esetén, addig a reflexiós echelon hatásfoka akér az 5%-ot is elérheti 6 mm-es kristályhossz esetén. Ezen számítás alapján azt m</w:t>
      </w:r>
      <w:r>
        <w:t>ondhatjuk, hogy az echelon elrendezés a kedvezőbb, azonban a hatásfok nem az egyetlen tényező. THz generálásnál fontos ezen felül az impulzus időbeli lefutása is, ezért vizsgáljuk meg a THz-es impulzus időbeli lefutását. Láthatjuk továbbá, hogy a TPF hatás</w:t>
      </w:r>
      <w:r>
        <w:t>foka gyorsabban növekszik és egy egyértelmű maximumot vesz fel. Az echelon elrendezés hatásfoka a vizsgált tartományon folyamatosan növekszik.</w:t>
      </w:r>
    </w:p>
    <w:p w14:paraId="3C911C83" w14:textId="77777777" w:rsidR="0026797F" w:rsidRPr="00F47158" w:rsidRDefault="00BE145B">
      <w:pPr>
        <w:pStyle w:val="Cmsor1"/>
        <w:rPr>
          <w:color w:val="auto"/>
        </w:rPr>
      </w:pPr>
      <w:bookmarkStart w:id="4" w:name="a-térerősségek-időbeli-lefutása"/>
      <w:bookmarkEnd w:id="2"/>
      <w:bookmarkEnd w:id="3"/>
      <w:r w:rsidRPr="00F47158">
        <w:rPr>
          <w:color w:val="auto"/>
        </w:rPr>
        <w:t>A térerősségek időbeli lefutása</w:t>
      </w:r>
    </w:p>
    <w:p w14:paraId="25FFAD6D" w14:textId="1F3D55BA" w:rsidR="0026797F" w:rsidRDefault="00BE145B" w:rsidP="00F47158">
      <w:pPr>
        <w:pStyle w:val="FirstParagraph"/>
        <w:jc w:val="both"/>
      </w:pPr>
      <w:r>
        <w:t>A TPF elrendezésen végzett korábbi számításokból tudjuk, hogy az elrendezés akkor</w:t>
      </w:r>
      <w:r>
        <w:t xml:space="preserve"> produkálja a legjobb minőségű THz-es impulzust amikor a maximális hatásfokhoz tartozó kristályhosszat használjuk. Továbbá azt is megállapítottuk szisztematikus számításokon keresztül, hogy amennyiben ennél nagyobb kristályhosszat használunk a THz-es impul</w:t>
      </w:r>
      <w:r>
        <w:t>zusban sok optikai ciklus jelenik meg, a csúcstérerősség pedig nagy mértékben lecsökken Ha kisebb kristályhosszakat vizsgálunk ott a THz-es impulzus közel egyciklusú, a maximális térerősség pedig alacsonyabb, mint a maximális hatásfokhoz tartozó kristályho</w:t>
      </w:r>
      <w:r>
        <w:t xml:space="preserve">ssz esetén. Ezen okokból kifolyólag a TPF esetén a maximális hatásfokhoz tartozó kristályhossznál vizsgáljuk a THz-es impulzus időbeli alakját. Az eredményeket a 3. </w:t>
      </w:r>
      <w:proofErr w:type="spellStart"/>
      <w:r>
        <w:t>ábra</w:t>
      </w:r>
      <w:proofErr w:type="spellEnd"/>
      <w:r>
        <w:t xml:space="preserve"> </w:t>
      </w:r>
      <w:proofErr w:type="spellStart"/>
      <w:r>
        <w:t>mutatja</w:t>
      </w:r>
      <w:proofErr w:type="spellEnd"/>
      <w:r>
        <w:t>.</w:t>
      </w:r>
      <w:r w:rsidR="00940346" w:rsidRPr="00940346">
        <w:rPr>
          <w:noProof/>
        </w:rPr>
        <w:t xml:space="preserve"> </w:t>
      </w:r>
    </w:p>
    <w:p w14:paraId="5CACEE49" w14:textId="5CC04B93" w:rsidR="0026797F" w:rsidRDefault="00940346" w:rsidP="00940346">
      <w:pPr>
        <w:pStyle w:val="CaptionedFigure"/>
        <w:jc w:val="center"/>
      </w:pPr>
      <w:r w:rsidRPr="00940346">
        <w:lastRenderedPageBreak/>
        <w:drawing>
          <wp:inline distT="0" distB="0" distL="0" distR="0" wp14:anchorId="582035BF" wp14:editId="3F40B1E4">
            <wp:extent cx="5345806" cy="4649941"/>
            <wp:effectExtent l="0" t="0" r="0" b="0"/>
            <wp:docPr id="3" name="Ábr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Ábra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806" cy="464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4F7E" w14:textId="77777777" w:rsidR="0026797F" w:rsidRDefault="00BE145B" w:rsidP="00940346">
      <w:pPr>
        <w:pStyle w:val="ImageCaption"/>
        <w:jc w:val="center"/>
      </w:pPr>
      <w:r>
        <w:t>A TPF és az echelon által keltett THz-es impulzus</w:t>
      </w:r>
    </w:p>
    <w:p w14:paraId="7E7C80F7" w14:textId="77777777" w:rsidR="0026797F" w:rsidRDefault="00BE145B" w:rsidP="00940346">
      <w:pPr>
        <w:pStyle w:val="Szvegtrzs"/>
        <w:jc w:val="both"/>
      </w:pPr>
      <w:r>
        <w:t>Láthatjuk, hogy a két imp</w:t>
      </w:r>
      <w:r>
        <w:t>ulzus több szempontból is különbözik egymástól. A TPF által keltett impulzus egynél több optikai ciklust is tartalmaz, míg az echelon által keltett impulzus csak egyet. A másik különbség pedig a maximális térerősség. Ezen beállítások mellet a TPF elrendezé</w:t>
      </w:r>
      <w:r>
        <w:t xml:space="preserve">ssel elérhető maximális térerősség 320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KV</m:t>
            </m:r>
          </m:num>
          <m:den>
            <m:r>
              <w:rPr>
                <w:rFonts w:ascii="Cambria Math" w:hAnsi="Cambria Math"/>
              </w:rPr>
              <m:t>cm</m:t>
            </m:r>
          </m:den>
        </m:f>
      </m:oMath>
      <w:r>
        <w:t xml:space="preserve"> az echelon esetében pedig 500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KV</m:t>
            </m:r>
          </m:num>
          <m:den>
            <m:r>
              <w:rPr>
                <w:rFonts w:ascii="Cambria Math" w:hAnsi="Cambria Math"/>
              </w:rPr>
              <m:t>cm</m:t>
            </m:r>
          </m:den>
        </m:f>
      </m:oMath>
      <w:r>
        <w:t>.</w:t>
      </w:r>
    </w:p>
    <w:p w14:paraId="096C8F07" w14:textId="77777777" w:rsidR="0026797F" w:rsidRPr="00F47158" w:rsidRDefault="00BE145B">
      <w:pPr>
        <w:pStyle w:val="Cmsor1"/>
        <w:rPr>
          <w:color w:val="auto"/>
        </w:rPr>
      </w:pPr>
      <w:bookmarkStart w:id="5" w:name="következtetés"/>
      <w:bookmarkEnd w:id="4"/>
      <w:r w:rsidRPr="00F47158">
        <w:rPr>
          <w:color w:val="auto"/>
        </w:rPr>
        <w:t>Következtetés</w:t>
      </w:r>
    </w:p>
    <w:p w14:paraId="24B7A66F" w14:textId="12D13203" w:rsidR="0026797F" w:rsidRDefault="00BE145B" w:rsidP="00940346">
      <w:pPr>
        <w:pStyle w:val="FirstParagraph"/>
        <w:jc w:val="both"/>
      </w:pPr>
      <w:r>
        <w:t>A bemutattak alapján az mondhatjuk, hogy a hátoldali reflexiós echelon elrendezés ígéretes THz-es forrás. Számításaink azt mutatják, hogy az eddig leggyak</w:t>
      </w:r>
      <w:r>
        <w:t xml:space="preserve">rabban használt TPF elrendezésnél nagyobb hatásfokkal képes előállítani nagyobb térerősségű THz-es impulzust. A </w:t>
      </w:r>
      <w:proofErr w:type="spellStart"/>
      <w:r>
        <w:t>magas</w:t>
      </w:r>
      <w:proofErr w:type="spellEnd"/>
      <w:r>
        <w:t xml:space="preserve"> </w:t>
      </w:r>
      <w:proofErr w:type="spellStart"/>
      <w:r>
        <w:t>hatásfokkal</w:t>
      </w:r>
      <w:proofErr w:type="spellEnd"/>
      <w:r>
        <w:t xml:space="preserve"> </w:t>
      </w:r>
      <w:proofErr w:type="spellStart"/>
      <w:r>
        <w:t>előállíto</w:t>
      </w:r>
      <w:proofErr w:type="spellEnd"/>
      <w:r w:rsidR="00940346" w:rsidRPr="00940346">
        <w:rPr>
          <w:noProof/>
        </w:rPr>
        <w:t xml:space="preserve"> </w:t>
      </w:r>
      <w:proofErr w:type="spellStart"/>
      <w:r>
        <w:t>tt</w:t>
      </w:r>
      <w:proofErr w:type="spellEnd"/>
      <w:r>
        <w:t xml:space="preserve">,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térerősséggel</w:t>
      </w:r>
      <w:proofErr w:type="spellEnd"/>
      <w:r>
        <w:t xml:space="preserve"> </w:t>
      </w:r>
      <w:proofErr w:type="spellStart"/>
      <w:r>
        <w:t>rendelkező</w:t>
      </w:r>
      <w:proofErr w:type="spellEnd"/>
      <w:r>
        <w:t xml:space="preserve"> egyciklusú THz-es impulzusoknak számos helyen felhasználható [6], például </w:t>
      </w:r>
      <w:proofErr w:type="spellStart"/>
      <w:r>
        <w:t>töltött</w:t>
      </w:r>
      <w:proofErr w:type="spellEnd"/>
      <w:r>
        <w:t xml:space="preserve"> </w:t>
      </w:r>
      <w:proofErr w:type="spellStart"/>
      <w:r>
        <w:t>r</w:t>
      </w:r>
      <w:r>
        <w:t>észecskék</w:t>
      </w:r>
      <w:proofErr w:type="spellEnd"/>
      <w:r>
        <w:t xml:space="preserve"> </w:t>
      </w:r>
      <w:proofErr w:type="spellStart"/>
      <w:r>
        <w:t>gyorsítására</w:t>
      </w:r>
      <w:proofErr w:type="spellEnd"/>
      <w:r>
        <w:t xml:space="preserve"> [7].</w:t>
      </w:r>
    </w:p>
    <w:p w14:paraId="25C01EE5" w14:textId="6466C64B" w:rsidR="00940346" w:rsidRPr="00F47158" w:rsidRDefault="00940346" w:rsidP="00940346">
      <w:pPr>
        <w:pStyle w:val="Cmsor1"/>
        <w:rPr>
          <w:color w:val="auto"/>
        </w:rPr>
      </w:pPr>
      <w:proofErr w:type="spellStart"/>
      <w:r w:rsidRPr="00F47158">
        <w:rPr>
          <w:color w:val="auto"/>
        </w:rPr>
        <w:lastRenderedPageBreak/>
        <w:t>Irodalomjegyzék</w:t>
      </w:r>
      <w:proofErr w:type="spellEnd"/>
      <w:r w:rsidRPr="00F47158">
        <w:rPr>
          <w:color w:val="auto"/>
        </w:rPr>
        <w:br/>
      </w:r>
    </w:p>
    <w:p w14:paraId="3478AE37" w14:textId="77777777" w:rsidR="0026797F" w:rsidRDefault="00BE145B">
      <w:pPr>
        <w:pStyle w:val="Irodalomjegyzk"/>
      </w:pPr>
      <w:bookmarkStart w:id="6" w:name="ref-wu20201"/>
      <w:bookmarkStart w:id="7" w:name="refs"/>
      <w:r>
        <w:t>[</w:t>
      </w:r>
      <w:r>
        <w:t xml:space="preserve">1] </w:t>
      </w:r>
      <w:r>
        <w:tab/>
        <w:t xml:space="preserve">X. Wu, B. Zhang, J. Ma, and Y. Li, “1.4 mJ high energy THz radiation from lithium niobates,” in </w:t>
      </w:r>
      <w:r>
        <w:rPr>
          <w:i/>
          <w:iCs/>
        </w:rPr>
        <w:t>2020 45th international conference on infrared, millimeter, and terahertz waves (IRMMW-THz)</w:t>
      </w:r>
      <w:r>
        <w:t>, 2020, pp. 1–2.</w:t>
      </w:r>
    </w:p>
    <w:p w14:paraId="14C04F2C" w14:textId="77777777" w:rsidR="0026797F" w:rsidRDefault="00BE145B">
      <w:pPr>
        <w:pStyle w:val="Irodalomjegyzk"/>
      </w:pPr>
      <w:bookmarkStart w:id="8" w:name="ref-hebling2002velocity"/>
      <w:bookmarkEnd w:id="6"/>
      <w:r>
        <w:t xml:space="preserve">[2] </w:t>
      </w:r>
      <w:r>
        <w:tab/>
      </w:r>
      <w:r>
        <w:t xml:space="preserve">J. Hebling, G. Almasi, I. Z. Kozma, and J. Kuhl, “Velocity matching by pulse front tilting for large-area THz-pulse generation,” </w:t>
      </w:r>
      <w:r>
        <w:rPr>
          <w:i/>
          <w:iCs/>
        </w:rPr>
        <w:t>Optics Express</w:t>
      </w:r>
      <w:r>
        <w:t>, vol. 10, no. 21, pp. 1161–1166, 2002.</w:t>
      </w:r>
    </w:p>
    <w:p w14:paraId="30AA00A2" w14:textId="77777777" w:rsidR="0026797F" w:rsidRDefault="00BE145B">
      <w:pPr>
        <w:pStyle w:val="Irodalomjegyzk"/>
      </w:pPr>
      <w:bookmarkStart w:id="9" w:name="ref-krizsan2020lithium"/>
      <w:bookmarkEnd w:id="8"/>
      <w:r>
        <w:t xml:space="preserve">[3] </w:t>
      </w:r>
      <w:r>
        <w:tab/>
        <w:t>G. Krizsán, Z. Tibai, J. Hebling, L. Pálfalvi, G. Almási, and G. Tót</w:t>
      </w:r>
      <w:r>
        <w:t xml:space="preserve">h, “Lithium niobate and lithium tantalate based scalable terahertz pulse sources in reflection geometry,” </w:t>
      </w:r>
      <w:r>
        <w:rPr>
          <w:i/>
          <w:iCs/>
        </w:rPr>
        <w:t>Optics Express</w:t>
      </w:r>
      <w:r>
        <w:t>, vol. 28, no. 23, pp. 34320–34327, 2020.</w:t>
      </w:r>
    </w:p>
    <w:p w14:paraId="04E722CB" w14:textId="77777777" w:rsidR="0026797F" w:rsidRDefault="00BE145B">
      <w:pPr>
        <w:pStyle w:val="Irodalomjegyzk"/>
      </w:pPr>
      <w:bookmarkStart w:id="10" w:name="ref-toth2019single"/>
      <w:bookmarkEnd w:id="9"/>
      <w:r>
        <w:t xml:space="preserve">[4] </w:t>
      </w:r>
      <w:r>
        <w:tab/>
        <w:t xml:space="preserve">G. Tóth </w:t>
      </w:r>
      <w:r>
        <w:rPr>
          <w:i/>
          <w:iCs/>
        </w:rPr>
        <w:t>et al.</w:t>
      </w:r>
      <w:r>
        <w:t xml:space="preserve">, “Single-cycle scalable terahertz pulse source in reflection geometry,” </w:t>
      </w:r>
      <w:r>
        <w:rPr>
          <w:i/>
          <w:iCs/>
        </w:rPr>
        <w:t>Op</w:t>
      </w:r>
      <w:r>
        <w:rPr>
          <w:i/>
          <w:iCs/>
        </w:rPr>
        <w:t>tics Express</w:t>
      </w:r>
      <w:r>
        <w:t>, vol. 27, no. 21, pp. 30681–30691, 2019.</w:t>
      </w:r>
    </w:p>
    <w:p w14:paraId="322E745A" w14:textId="77777777" w:rsidR="0026797F" w:rsidRDefault="00BE145B">
      <w:pPr>
        <w:pStyle w:val="Irodalomjegyzk"/>
      </w:pPr>
      <w:bookmarkStart w:id="11" w:name="ref-ravi2014limitations"/>
      <w:bookmarkEnd w:id="10"/>
      <w:r>
        <w:t xml:space="preserve">[5] </w:t>
      </w:r>
      <w:r>
        <w:tab/>
        <w:t xml:space="preserve">K. Ravi, W. R. Huang, S. Carbajo, X. Wu, and F. Kärtner, “Limitations to THz generation by optical rectification using tilted pulse fronts,” </w:t>
      </w:r>
      <w:r>
        <w:rPr>
          <w:i/>
          <w:iCs/>
        </w:rPr>
        <w:t>Optics express</w:t>
      </w:r>
      <w:r>
        <w:t>, vol. 22, no. 17, pp. 20239–20251, 2014.</w:t>
      </w:r>
    </w:p>
    <w:p w14:paraId="3B3279C9" w14:textId="77777777" w:rsidR="0026797F" w:rsidRDefault="00BE145B">
      <w:pPr>
        <w:pStyle w:val="Irodalomjegyzk"/>
      </w:pPr>
      <w:bookmarkStart w:id="12" w:name="ref-zhang2017extreme"/>
      <w:bookmarkEnd w:id="11"/>
      <w:r>
        <w:t xml:space="preserve">[6] </w:t>
      </w:r>
      <w:r>
        <w:tab/>
        <w:t xml:space="preserve">X. C. Zhang, A. Shkurinov, and Y. Zhang, “Extreme terahertz science,” </w:t>
      </w:r>
      <w:r>
        <w:rPr>
          <w:i/>
          <w:iCs/>
        </w:rPr>
        <w:t>Nature Photonics</w:t>
      </w:r>
      <w:r>
        <w:t>, vol. 11, no. 1, pp. 16–18, 2017.</w:t>
      </w:r>
    </w:p>
    <w:p w14:paraId="1A76ECBD" w14:textId="77777777" w:rsidR="0026797F" w:rsidRDefault="00BE145B">
      <w:pPr>
        <w:pStyle w:val="Irodalomjegyzk"/>
      </w:pPr>
      <w:bookmarkStart w:id="13" w:name="ref-nanni2015terahertz"/>
      <w:bookmarkEnd w:id="12"/>
      <w:r>
        <w:t xml:space="preserve">[7] </w:t>
      </w:r>
      <w:r>
        <w:tab/>
        <w:t xml:space="preserve">E. A. Nanni </w:t>
      </w:r>
      <w:r>
        <w:rPr>
          <w:i/>
          <w:iCs/>
        </w:rPr>
        <w:t>et al.</w:t>
      </w:r>
      <w:r>
        <w:t xml:space="preserve">, “Terahertz-driven linear electron acceleration,” </w:t>
      </w:r>
      <w:r>
        <w:rPr>
          <w:i/>
          <w:iCs/>
        </w:rPr>
        <w:t>Nature communications</w:t>
      </w:r>
      <w:r>
        <w:t>, vol. 6, no. 1, pp. 1–8, 2015.</w:t>
      </w:r>
      <w:bookmarkEnd w:id="5"/>
      <w:bookmarkEnd w:id="7"/>
      <w:bookmarkEnd w:id="13"/>
    </w:p>
    <w:sectPr w:rsidR="0026797F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02572" w14:textId="77777777" w:rsidR="00BE145B" w:rsidRDefault="00BE145B">
      <w:pPr>
        <w:spacing w:after="0"/>
      </w:pPr>
      <w:r>
        <w:separator/>
      </w:r>
    </w:p>
  </w:endnote>
  <w:endnote w:type="continuationSeparator" w:id="0">
    <w:p w14:paraId="3DF8A965" w14:textId="77777777" w:rsidR="00BE145B" w:rsidRDefault="00BE14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5A25C" w14:textId="77777777" w:rsidR="00BE145B" w:rsidRDefault="00BE145B">
      <w:r>
        <w:separator/>
      </w:r>
    </w:p>
  </w:footnote>
  <w:footnote w:type="continuationSeparator" w:id="0">
    <w:p w14:paraId="4F1D43EC" w14:textId="77777777" w:rsidR="00BE145B" w:rsidRDefault="00BE1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6EAB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8629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97F"/>
    <w:rsid w:val="0026797F"/>
    <w:rsid w:val="00940346"/>
    <w:rsid w:val="00BE145B"/>
    <w:rsid w:val="00F4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2955"/>
  <w15:docId w15:val="{7A700A9B-2806-4A4A-B5E3-E5931C58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KpalrsChar"/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847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Illés Gergő</cp:lastModifiedBy>
  <cp:revision>2</cp:revision>
  <dcterms:created xsi:type="dcterms:W3CDTF">2022-07-05T19:18:00Z</dcterms:created>
  <dcterms:modified xsi:type="dcterms:W3CDTF">2022-07-05T19:25:00Z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Az optikai terahertzes források fejlődésével lehetőség nyílt arra, hogy 1 mJ nagyságrendű impulzusenergiákat állítsunk elő [1]. Ezt az impulzusenergiát a döntött impulzusfrontú gerjesztés módszerét [2] használva sikerült elérni. Azonban a döntött impulzusfrontú gerjesztés módszerének számos korlátozó tényezője van. Az első, hogy a kristály nagy ékszöggel rendelkezik, a második, hogy a nagy impulzusfront-döntés következtében a pumpaimpulzus nagymértékű szögdiszperzióval rendelkezik, a harmadik pedig, hogy az elrendezésben használt leképző rendszer nem tökéletes, leképzési hibák keletkeznek. Ezen hibák enyhítésére lehetőséget ad a hátoldali reflexiós elrendezés [3], [4]. A Pécsi Terahertzes kutatócsoport már végzett számításokat az elrendezésen, azonban az akkor használt modell nem vette figyelembe a terahertzes impulzus visszahatását a pumpaimpulzusra.</vt:lpwstr>
  </property>
  <property fmtid="{D5CDD505-2E9C-101B-9397-08002B2CF9AE}" pid="3" name="bibliography">
    <vt:lpwstr/>
  </property>
  <property fmtid="{D5CDD505-2E9C-101B-9397-08002B2CF9AE}" pid="4" name="csl">
    <vt:lpwstr>ieee.csl</vt:lpwstr>
  </property>
</Properties>
</file>