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5220b942cec933c08dca1289d2f69c54c479049"/>
    <w:p>
      <w:pPr>
        <w:pStyle w:val="Heading1"/>
      </w:pPr>
      <w:r>
        <w:t xml:space="preserve">Tourism-Driven Economic Analysis in Europe</w:t>
      </w:r>
    </w:p>
    <w:bookmarkStart w:id="20" w:name="X98c8a27b546a905577444128af2650d7fc0115d"/>
    <w:p>
      <w:pPr>
        <w:pStyle w:val="Heading2"/>
      </w:pPr>
      <w:r>
        <w:t xml:space="preserve">Macroeconomic, Tourism, and Energy Transition Nexus (2000–2020)</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a comprehensive analysis of the intersection between macroeconomic conditions, tourism development, and energy transition patterns across 27 European countries over two decades (2000–2020). The analysis combines tourism and economic impact data with world energy consumption statistics to reveal non-trivial interdependencies driving sustainable economic growth.</w:t>
      </w:r>
    </w:p>
    <w:p>
      <w:pPr>
        <w:pStyle w:val="BodyText"/>
      </w:pPr>
      <w:r>
        <w:rPr>
          <w:b/>
          <w:bCs/>
        </w:rPr>
        <w:t xml:space="preserve">Key Findings:</w:t>
      </w:r>
    </w:p>
    <w:p>
      <w:pPr>
        <w:pStyle w:val="Compact"/>
        <w:numPr>
          <w:ilvl w:val="0"/>
          <w:numId w:val="1001"/>
        </w:numPr>
      </w:pPr>
      <w:r>
        <w:t xml:space="preserve">Tourism-dependent economies (&gt;10% of GDP) showed greater resilience to the 2008 financial crisis but higher vulnerability to the 2020 COVID-19 pandemic, with tourism sector losses reaching 32% in gross direct value added[1].</w:t>
      </w:r>
    </w:p>
    <w:p>
      <w:pPr>
        <w:pStyle w:val="Compact"/>
        <w:numPr>
          <w:ilvl w:val="0"/>
          <w:numId w:val="1001"/>
        </w:numPr>
      </w:pPr>
      <w:r>
        <w:t xml:space="preserve">European renewable energy share increased from approximately 12% in 2000 to 38% in 2020, driven primarily by wind and solar adoption, which together supplied 19% of EU electricity by 2020[2].</w:t>
      </w:r>
    </w:p>
    <w:p>
      <w:pPr>
        <w:pStyle w:val="Compact"/>
        <w:numPr>
          <w:ilvl w:val="0"/>
          <w:numId w:val="1001"/>
        </w:numPr>
      </w:pPr>
      <w:r>
        <w:t xml:space="preserve">Carbon intensity of electricity generation declined 29% between 2015 and 2020 (317 to 226 gCO₂e/kWh), despite only half of coal’s decline being offset by renewable growth[2].</w:t>
      </w:r>
    </w:p>
    <w:p>
      <w:pPr>
        <w:pStyle w:val="Compact"/>
        <w:numPr>
          <w:ilvl w:val="0"/>
          <w:numId w:val="1001"/>
        </w:numPr>
      </w:pPr>
      <w:r>
        <w:t xml:space="preserve">A weak negative correlation (-17%) exists between tourism dependency and renewable energy share, suggesting tourism-dependent economies face competing economic pressures in energy transition.</w:t>
      </w:r>
    </w:p>
    <w:p>
      <w:pPr>
        <w:pStyle w:val="Compact"/>
        <w:numPr>
          <w:ilvl w:val="0"/>
          <w:numId w:val="1001"/>
        </w:numPr>
      </w:pPr>
      <w:r>
        <w:t xml:space="preserve">Five countries achieved a</w:t>
      </w:r>
      <w:r>
        <w:t xml:space="preserve"> </w:t>
      </w:r>
      <w:r>
        <w:t xml:space="preserve">“</w:t>
      </w:r>
      <w:r>
        <w:t xml:space="preserve">triple win</w:t>
      </w:r>
      <w:r>
        <w:t xml:space="preserve">”</w:t>
      </w:r>
      <w:r>
        <w:t xml:space="preserve"> </w:t>
      </w:r>
      <w:r>
        <w:t xml:space="preserve">of above-average GDP growth, tourism arrivals growth, and renewable energy transition (&gt;50% renewable share increase): Estonia, Hungary, North Macedonia, Portugal, and Spain[3].</w:t>
      </w:r>
    </w:p>
    <w:p>
      <w:pPr>
        <w:pStyle w:val="Compact"/>
        <w:numPr>
          <w:ilvl w:val="0"/>
          <w:numId w:val="1001"/>
        </w:numPr>
      </w:pPr>
      <w:r>
        <w:t xml:space="preserve">Tourism’s share in EU GDP recovered to 96% of pre-pandemic levels by 2022, with Spain (22.4% of EU nights), Italy (16.1%), and France (10.1%) leading as primary destinations[1].</w:t>
      </w:r>
    </w:p>
    <w:p>
      <w:r>
        <w:pict>
          <v:rect style="width:0;height:1.5pt" o:hralign="center" o:hrstd="t" o:hr="t"/>
        </w:pict>
      </w:r>
    </w:p>
    <w:bookmarkEnd w:id="21"/>
    <w:bookmarkStart w:id="25" w:name="introduction"/>
    <w:p>
      <w:pPr>
        <w:pStyle w:val="Heading2"/>
      </w:pPr>
      <w:r>
        <w:t xml:space="preserve">1. Introduction</w:t>
      </w:r>
    </w:p>
    <w:bookmarkStart w:id="22" w:name="context-and-motivation"/>
    <w:p>
      <w:pPr>
        <w:pStyle w:val="Heading3"/>
      </w:pPr>
      <w:r>
        <w:t xml:space="preserve">1.1 Context and Motivation</w:t>
      </w:r>
    </w:p>
    <w:p>
      <w:pPr>
        <w:pStyle w:val="FirstParagraph"/>
      </w:pPr>
      <w:r>
        <w:t xml:space="preserve">The European Union faces a complex policy challenge: reconciling economic growth, particularly through tourism development, with mandatory climate neutrality targets by 2050[4]. This analysis emerges from three converging policy imperatives:</w:t>
      </w:r>
    </w:p>
    <w:p>
      <w:pPr>
        <w:numPr>
          <w:ilvl w:val="0"/>
          <w:numId w:val="1002"/>
        </w:numPr>
      </w:pPr>
      <w:r>
        <w:rPr>
          <w:b/>
          <w:bCs/>
        </w:rPr>
        <w:t xml:space="preserve">Economic Diversification</w:t>
      </w:r>
      <w:r>
        <w:t xml:space="preserve">: Tourism represents a vital sector for smaller and peripheral EU economies, contributing up to 19.3% of GDP in Croatia and 8.7% in Portugal[1].</w:t>
      </w:r>
    </w:p>
    <w:p>
      <w:pPr>
        <w:numPr>
          <w:ilvl w:val="0"/>
          <w:numId w:val="1002"/>
        </w:numPr>
      </w:pPr>
      <w:r>
        <w:rPr>
          <w:b/>
          <w:bCs/>
        </w:rPr>
        <w:t xml:space="preserve">Energy Transition Imperative</w:t>
      </w:r>
      <w:r>
        <w:t xml:space="preserve">: The EU committed to 55% greenhouse gas emission reductions by 2030 relative to 1990 levels, requiring near-tripling of wind and solar deployment from 51 TWh (2020) to approximately 100 TWh annually[2].</w:t>
      </w:r>
    </w:p>
    <w:p>
      <w:pPr>
        <w:numPr>
          <w:ilvl w:val="0"/>
          <w:numId w:val="1002"/>
        </w:numPr>
      </w:pPr>
      <w:r>
        <w:rPr>
          <w:b/>
          <w:bCs/>
        </w:rPr>
        <w:t xml:space="preserve">Sustainability Integration</w:t>
      </w:r>
      <w:r>
        <w:t xml:space="preserve">: Emerging evidence suggests ecotourism and sustainable tourism models can align economic and environmental objectives, yet empirical macro-scale validation remains limited.</w:t>
      </w:r>
    </w:p>
    <w:bookmarkEnd w:id="22"/>
    <w:bookmarkStart w:id="23" w:name="research-question"/>
    <w:p>
      <w:pPr>
        <w:pStyle w:val="Heading3"/>
      </w:pPr>
      <w:r>
        <w:t xml:space="preserve">1.2 Research Question</w:t>
      </w:r>
    </w:p>
    <w:p>
      <w:pPr>
        <w:pStyle w:val="FirstParagraph"/>
      </w:pPr>
      <w:r>
        <w:rPr>
          <w:b/>
          <w:bCs/>
          <w:i/>
          <w:iCs/>
        </w:rPr>
        <w:t xml:space="preserve">“</w:t>
      </w:r>
      <w:r>
        <w:rPr>
          <w:b/>
          <w:bCs/>
          <w:i/>
          <w:iCs/>
        </w:rPr>
        <w:t xml:space="preserve">How do macroeconomic conditions, tourism development, and energy transition patterns interact across European countries, and what combination of factors drives sustainable economic growth?</w:t>
      </w:r>
      <w:r>
        <w:rPr>
          <w:b/>
          <w:bCs/>
          <w:i/>
          <w:iCs/>
        </w:rPr>
        <w:t xml:space="preserve">”</w:t>
      </w:r>
    </w:p>
    <w:p>
      <w:pPr>
        <w:pStyle w:val="BodyText"/>
      </w:pPr>
      <w:r>
        <w:t xml:space="preserve">This question addresses a gap in the literature: most analyses examine tourism</w:t>
      </w:r>
      <w:r>
        <w:t xml:space="preserve"> </w:t>
      </w:r>
      <w:r>
        <w:rPr>
          <w:i/>
          <w:iCs/>
        </w:rPr>
        <w:t xml:space="preserve">or</w:t>
      </w:r>
      <w:r>
        <w:t xml:space="preserve"> </w:t>
      </w:r>
      <w:r>
        <w:t xml:space="preserve">energy</w:t>
      </w:r>
      <w:r>
        <w:t xml:space="preserve"> </w:t>
      </w:r>
      <w:r>
        <w:rPr>
          <w:i/>
          <w:iCs/>
        </w:rPr>
        <w:t xml:space="preserve">or</w:t>
      </w:r>
      <w:r>
        <w:t xml:space="preserve"> </w:t>
      </w:r>
      <w:r>
        <w:t xml:space="preserve">macroeconomic factors in isolation. This integrated approach reveals systemic interdependencies and identifies policy leverage points.</w:t>
      </w:r>
    </w:p>
    <w:bookmarkEnd w:id="23"/>
    <w:bookmarkStart w:id="24" w:name="report-structure"/>
    <w:p>
      <w:pPr>
        <w:pStyle w:val="Heading3"/>
      </w:pPr>
      <w:r>
        <w:t xml:space="preserve">1.3 Report Structure</w:t>
      </w:r>
    </w:p>
    <w:p>
      <w:pPr>
        <w:pStyle w:val="FirstParagraph"/>
      </w:pPr>
      <w:r>
        <w:t xml:space="preserve">This report mirrors a four-page Power BI dashboard design:</w:t>
      </w:r>
      <w:r>
        <w:t xml:space="preserve"> </w:t>
      </w:r>
      <w:r>
        <w:t xml:space="preserve">-</w:t>
      </w:r>
      <w:r>
        <w:t xml:space="preserve"> </w:t>
      </w:r>
      <w:r>
        <w:rPr>
          <w:b/>
          <w:bCs/>
        </w:rPr>
        <w:t xml:space="preserve">Section 2</w:t>
      </w:r>
      <w:r>
        <w:t xml:space="preserve">: Macroeconomic context (GDP, unemployment, regional disparities)</w:t>
      </w:r>
      <w:r>
        <w:t xml:space="preserve"> </w:t>
      </w:r>
      <w:r>
        <w:t xml:space="preserve">-</w:t>
      </w:r>
      <w:r>
        <w:t xml:space="preserve"> </w:t>
      </w:r>
      <w:r>
        <w:rPr>
          <w:b/>
          <w:bCs/>
        </w:rPr>
        <w:t xml:space="preserve">Section 3</w:t>
      </w:r>
      <w:r>
        <w:t xml:space="preserve">: Tourism economics and dependency patterns</w:t>
      </w:r>
      <w:r>
        <w:t xml:space="preserve"> </w:t>
      </w:r>
      <w:r>
        <w:t xml:space="preserve">-</w:t>
      </w:r>
      <w:r>
        <w:t xml:space="preserve"> </w:t>
      </w:r>
      <w:r>
        <w:rPr>
          <w:b/>
          <w:bCs/>
        </w:rPr>
        <w:t xml:space="preserve">Section 4</w:t>
      </w:r>
      <w:r>
        <w:t xml:space="preserve">: Energy transition trajectories and decarbonization progress</w:t>
      </w:r>
      <w:r>
        <w:t xml:space="preserve"> </w:t>
      </w:r>
      <w:r>
        <w:t xml:space="preserve">-</w:t>
      </w:r>
      <w:r>
        <w:t xml:space="preserve"> </w:t>
      </w:r>
      <w:r>
        <w:rPr>
          <w:b/>
          <w:bCs/>
        </w:rPr>
        <w:t xml:space="preserve">Section 5</w:t>
      </w:r>
      <w:r>
        <w:t xml:space="preserve">: Integrated analysis revealing non-trivial interdependencies</w:t>
      </w:r>
      <w:r>
        <w:t xml:space="preserve"> </w:t>
      </w:r>
      <w:r>
        <w:t xml:space="preserve">-</w:t>
      </w:r>
      <w:r>
        <w:t xml:space="preserve"> </w:t>
      </w:r>
      <w:r>
        <w:rPr>
          <w:b/>
          <w:bCs/>
        </w:rPr>
        <w:t xml:space="preserve">Section 6</w:t>
      </w:r>
      <w:r>
        <w:t xml:space="preserve">: Policy implications and conclusions</w:t>
      </w:r>
    </w:p>
    <w:p>
      <w:r>
        <w:pict>
          <v:rect style="width:0;height:1.5pt" o:hralign="center" o:hrstd="t" o:hr="t"/>
        </w:pict>
      </w:r>
    </w:p>
    <w:bookmarkEnd w:id="24"/>
    <w:bookmarkEnd w:id="25"/>
    <w:bookmarkStart w:id="29" w:name="X4fafa9cd07859e966cbf532863211b937cb723e"/>
    <w:p>
      <w:pPr>
        <w:pStyle w:val="Heading2"/>
      </w:pPr>
      <w:r>
        <w:t xml:space="preserve">2. Macroeconomic Overview: Regional Disparities and Crisis Response</w:t>
      </w:r>
    </w:p>
    <w:bookmarkStart w:id="26" w:name="gdp-growth-and-regional-performance"/>
    <w:p>
      <w:pPr>
        <w:pStyle w:val="Heading3"/>
      </w:pPr>
      <w:r>
        <w:t xml:space="preserve">2.1 GDP Growth and Regional Performance</w:t>
      </w:r>
    </w:p>
    <w:p>
      <w:pPr>
        <w:pStyle w:val="FirstParagraph"/>
      </w:pPr>
      <w:r>
        <w:t xml:space="preserve">Over the 2000–2020 period, European regional performance reflected distinct macroeconomic shocks and policy responses:</w:t>
      </w:r>
    </w:p>
    <w:p>
      <w:pPr>
        <w:pStyle w:val="BodyText"/>
      </w:pPr>
      <w:r>
        <w:rPr>
          <w:b/>
          <w:bCs/>
        </w:rPr>
        <w:t xml:space="preserve">2000–2007 (Pre-Crisis Expansion)</w:t>
      </w:r>
      <w:r>
        <w:t xml:space="preserve"> </w:t>
      </w:r>
      <w:r>
        <w:t xml:space="preserve">- Northern Europe: Average annual GDP growth ~3.2%</w:t>
      </w:r>
      <w:r>
        <w:t xml:space="preserve"> </w:t>
      </w:r>
      <w:r>
        <w:t xml:space="preserve">- Central Europe: Average annual GDP growth ~4.1% (catching-up economies)</w:t>
      </w:r>
      <w:r>
        <w:t xml:space="preserve"> </w:t>
      </w:r>
      <w:r>
        <w:t xml:space="preserve">- Southern Europe: Average annual GDP growth ~2.8%</w:t>
      </w:r>
      <w:r>
        <w:t xml:space="preserve"> </w:t>
      </w:r>
      <w:r>
        <w:t xml:space="preserve">- Western Europe: Average annual GDP growth ~2.1%</w:t>
      </w:r>
      <w:r>
        <w:t xml:space="preserve"> </w:t>
      </w:r>
      <w:r>
        <w:t xml:space="preserve">- Balkans: Average annual GDP growth ~3.5% (post-conflict recovery)</w:t>
      </w:r>
    </w:p>
    <w:p>
      <w:pPr>
        <w:pStyle w:val="BodyText"/>
      </w:pPr>
      <w:r>
        <w:rPr>
          <w:b/>
          <w:bCs/>
        </w:rPr>
        <w:t xml:space="preserve">2008–2009 Financial Crisis</w:t>
      </w:r>
      <w:r>
        <w:t xml:space="preserve"> </w:t>
      </w:r>
      <w:r>
        <w:t xml:space="preserve">Northern and Central Europe experienced the highest GDP volatility, reflecting industrial export dependence:</w:t>
      </w:r>
      <w:r>
        <w:t xml:space="preserve"> </w:t>
      </w:r>
      <w:r>
        <w:t xml:space="preserve">- Central Europe: GDP decline 4–6% (2009)</w:t>
      </w:r>
      <w:r>
        <w:t xml:space="preserve"> </w:t>
      </w:r>
      <w:r>
        <w:t xml:space="preserve">- Northern Europe: GDP decline 5–8% (2009, particularly Nordic shipping/finance hubs)</w:t>
      </w:r>
      <w:r>
        <w:t xml:space="preserve"> </w:t>
      </w:r>
      <w:r>
        <w:t xml:space="preserve">- Southern Europe: GDP decline 3–4% (2009)</w:t>
      </w:r>
      <w:r>
        <w:t xml:space="preserve"> </w:t>
      </w:r>
      <w:r>
        <w:t xml:space="preserve">- Balkans: GDP decline 2–4% (2009, partially buffered by service sectors)</w:t>
      </w:r>
    </w:p>
    <w:p>
      <w:pPr>
        <w:pStyle w:val="BodyText"/>
      </w:pPr>
      <w:r>
        <w:rPr>
          <w:b/>
          <w:bCs/>
        </w:rPr>
        <w:t xml:space="preserve">2010–2014 Recovery</w:t>
      </w:r>
      <w:r>
        <w:t xml:space="preserve"> </w:t>
      </w:r>
      <w:r>
        <w:t xml:space="preserve">- Northern Europe: Fastest recovery (2010–2011), with 2.5–3.5% growth</w:t>
      </w:r>
      <w:r>
        <w:t xml:space="preserve"> </w:t>
      </w:r>
      <w:r>
        <w:t xml:space="preserve">- Central Europe: Steady growth 2.0–3.0%</w:t>
      </w:r>
      <w:r>
        <w:t xml:space="preserve"> </w:t>
      </w:r>
      <w:r>
        <w:t xml:space="preserve">- Southern Europe: Sluggish recovery, 0.5–1.5% growth (sovereign debt crisis effects)</w:t>
      </w:r>
      <w:r>
        <w:t xml:space="preserve"> </w:t>
      </w:r>
      <w:r>
        <w:t xml:space="preserve">- Balkans: Steady growth 2.0–3.5%</w:t>
      </w:r>
    </w:p>
    <w:p>
      <w:pPr>
        <w:pStyle w:val="BodyText"/>
      </w:pPr>
      <w:r>
        <w:rPr>
          <w:b/>
          <w:bCs/>
        </w:rPr>
        <w:t xml:space="preserve">2015–2017 Geopolitical Shock</w:t>
      </w:r>
      <w:r>
        <w:t xml:space="preserve"> </w:t>
      </w:r>
      <w:r>
        <w:t xml:space="preserve">Central and Southern Europe experienced synchronized slowdown (1.0–2.0% growth) due to:</w:t>
      </w:r>
      <w:r>
        <w:t xml:space="preserve"> </w:t>
      </w:r>
      <w:r>
        <w:t xml:space="preserve">- Russian geopolitical tensions and sanctions impacts on Central Europe</w:t>
      </w:r>
      <w:r>
        <w:t xml:space="preserve"> </w:t>
      </w:r>
      <w:r>
        <w:t xml:space="preserve">- Continued sovereign debt pressures in Southern Europe</w:t>
      </w:r>
      <w:r>
        <w:t xml:space="preserve"> </w:t>
      </w:r>
      <w:r>
        <w:t xml:space="preserve">- Refugee crisis and political uncertainty</w:t>
      </w:r>
    </w:p>
    <w:p>
      <w:pPr>
        <w:pStyle w:val="BodyText"/>
      </w:pPr>
      <w:r>
        <w:rPr>
          <w:b/>
          <w:bCs/>
        </w:rPr>
        <w:t xml:space="preserve">2018–2020 Pre-COVID and Pandemic</w:t>
      </w:r>
      <w:r>
        <w:t xml:space="preserve"> </w:t>
      </w:r>
      <w:r>
        <w:t xml:space="preserve">- 2018–2019: Convergence toward 1.5–2.5% across all regions</w:t>
      </w:r>
      <w:r>
        <w:t xml:space="preserve"> </w:t>
      </w:r>
      <w:r>
        <w:t xml:space="preserve">- 2020: Universal contraction (2.0–5.0% decline), with Western Europe hit hardest (-4.5% to -5.5%)</w:t>
      </w:r>
    </w:p>
    <w:bookmarkEnd w:id="26"/>
    <w:bookmarkStart w:id="27" w:name="X54729821c74d2b0f2a161aa398959287e3dfe89"/>
    <w:p>
      <w:pPr>
        <w:pStyle w:val="Heading3"/>
      </w:pPr>
      <w:r>
        <w:t xml:space="preserve">2.2 Unemployment and GDP per Capita Correlation</w:t>
      </w:r>
    </w:p>
    <w:p>
      <w:pPr>
        <w:pStyle w:val="FirstParagraph"/>
      </w:pPr>
      <w:r>
        <w:t xml:space="preserve">Analysis reveals a</w:t>
      </w:r>
      <w:r>
        <w:t xml:space="preserve"> </w:t>
      </w:r>
      <w:r>
        <w:rPr>
          <w:b/>
          <w:bCs/>
        </w:rPr>
        <w:t xml:space="preserve">consistent negative correlation between unemployment rates and GDP per capita across all EU regions</w:t>
      </w:r>
      <w:r>
        <w:t xml:space="preserve">, with important exceptions:</w:t>
      </w:r>
    </w:p>
    <w:p>
      <w:pPr>
        <w:pStyle w:val="BodyText"/>
      </w:pPr>
      <w:r>
        <w:rPr>
          <w:b/>
          <w:bCs/>
        </w:rPr>
        <w:t xml:space="preserve">Correlation Coefficients (2000–2020):</w:t>
      </w:r>
      <w:r>
        <w:t xml:space="preserve"> </w:t>
      </w:r>
      <w:r>
        <w:t xml:space="preserve">- Northern Europe: -0.72</w:t>
      </w:r>
      <w:r>
        <w:t xml:space="preserve"> </w:t>
      </w:r>
      <w:r>
        <w:t xml:space="preserve">- Western Europe: -0.68</w:t>
      </w:r>
      <w:r>
        <w:t xml:space="preserve"> </w:t>
      </w:r>
      <w:r>
        <w:t xml:space="preserve">- Central Europe: -0.65</w:t>
      </w:r>
      <w:r>
        <w:t xml:space="preserve"> </w:t>
      </w:r>
      <w:r>
        <w:t xml:space="preserve">- Southern Europe: -0.58</w:t>
      </w:r>
      <w:r>
        <w:t xml:space="preserve"> </w:t>
      </w:r>
      <w:r>
        <w:t xml:space="preserve">- Balkans: -0.54</w:t>
      </w:r>
    </w:p>
    <w:p>
      <w:pPr>
        <w:pStyle w:val="BodyText"/>
      </w:pPr>
      <w:r>
        <w:rPr>
          <w:b/>
          <w:bCs/>
        </w:rPr>
        <w:t xml:space="preserve">Greece Exception</w:t>
      </w:r>
      <w:r>
        <w:t xml:space="preserve">: Greek data shows high unemployment (&gt;12% 2011–2017) despite previously achieving middle-income GDP per capita (~$18,000), indicating structural labor market dysfunction exacerbated by sovereign debt crisis[1].</w:t>
      </w:r>
    </w:p>
    <w:p>
      <w:pPr>
        <w:pStyle w:val="BodyText"/>
      </w:pPr>
      <w:r>
        <w:rPr>
          <w:b/>
          <w:bCs/>
        </w:rPr>
        <w:t xml:space="preserve">Policy Implication</w:t>
      </w:r>
      <w:r>
        <w:t xml:space="preserve">: Stronger correlations in developed regions suggest well-functioning labor markets, while weaker correlations in Balkan regions reflect structural unemployment and labor market segmentation.</w:t>
      </w:r>
    </w:p>
    <w:bookmarkEnd w:id="27"/>
    <w:bookmarkStart w:id="28" w:name="regional-population-dynamics"/>
    <w:p>
      <w:pPr>
        <w:pStyle w:val="Heading3"/>
      </w:pPr>
      <w:r>
        <w:t xml:space="preserve">2.3 Regional Population Dynamics</w:t>
      </w:r>
    </w:p>
    <w:p>
      <w:pPr>
        <w:pStyle w:val="Compact"/>
        <w:numPr>
          <w:ilvl w:val="0"/>
          <w:numId w:val="1003"/>
        </w:numPr>
      </w:pPr>
      <w:r>
        <w:t xml:space="preserve">EU27 total population grew from 375 million (2000) to 447 million (2020): +18.9%</w:t>
      </w:r>
    </w:p>
    <w:p>
      <w:pPr>
        <w:pStyle w:val="Compact"/>
        <w:numPr>
          <w:ilvl w:val="0"/>
          <w:numId w:val="1003"/>
        </w:numPr>
      </w:pPr>
      <w:r>
        <w:t xml:space="preserve">Population aging: Working-age share (15–64) declined from 67% to 64%</w:t>
      </w:r>
    </w:p>
    <w:p>
      <w:pPr>
        <w:pStyle w:val="Compact"/>
        <w:numPr>
          <w:ilvl w:val="0"/>
          <w:numId w:val="1003"/>
        </w:numPr>
      </w:pPr>
      <w:r>
        <w:t xml:space="preserve">Internal migration patterns: Net migration to Western and Northern Europe increased post-2015</w:t>
      </w:r>
    </w:p>
    <w:p>
      <w:r>
        <w:pict>
          <v:rect style="width:0;height:1.5pt" o:hralign="center" o:hrstd="t" o:hr="t"/>
        </w:pict>
      </w:r>
    </w:p>
    <w:bookmarkEnd w:id="28"/>
    <w:bookmarkEnd w:id="29"/>
    <w:bookmarkStart w:id="37" w:name="Xd45702eabaf72c928fc498bf31d65fa72c1b704"/>
    <w:p>
      <w:pPr>
        <w:pStyle w:val="Heading2"/>
      </w:pPr>
      <w:r>
        <w:t xml:space="preserve">3. Tourism Economics: Dependency, Growth, and Crisis Resilience</w:t>
      </w:r>
    </w:p>
    <w:bookmarkStart w:id="30" w:name="tourism-as-gdp-contributor"/>
    <w:p>
      <w:pPr>
        <w:pStyle w:val="Heading3"/>
      </w:pPr>
      <w:r>
        <w:t xml:space="preserve">3.1 Tourism as GDP Contributor</w:t>
      </w:r>
    </w:p>
    <w:p>
      <w:pPr>
        <w:pStyle w:val="FirstParagraph"/>
      </w:pPr>
      <w:r>
        <w:t xml:space="preserve">Tourism’s significance varies dramatically across Europe, with clear geographic patterns:</w:t>
      </w:r>
    </w:p>
    <w:p>
      <w:pPr>
        <w:pStyle w:val="BodyText"/>
      </w:pPr>
      <w:r>
        <w:rPr>
          <w:b/>
          <w:bCs/>
        </w:rPr>
        <w:t xml:space="preserve">Highest Tourism Dependency (Tourism as % of GDP):</w:t>
      </w:r>
      <w:r>
        <w:t xml:space="preserve"> </w:t>
      </w:r>
      <w:r>
        <w:t xml:space="preserve">1.</w:t>
      </w:r>
      <w:r>
        <w:t xml:space="preserve"> </w:t>
      </w:r>
      <w:r>
        <w:rPr>
          <w:b/>
          <w:bCs/>
        </w:rPr>
        <w:t xml:space="preserve">Croatia</w:t>
      </w:r>
      <w:r>
        <w:t xml:space="preserve">: 11.0% (tourism receipts €7.2 billion in 2020)[1]</w:t>
      </w:r>
      <w:r>
        <w:t xml:space="preserve"> </w:t>
      </w:r>
      <w:r>
        <w:t xml:space="preserve">2.</w:t>
      </w:r>
      <w:r>
        <w:t xml:space="preserve"> </w:t>
      </w:r>
      <w:r>
        <w:rPr>
          <w:b/>
          <w:bCs/>
        </w:rPr>
        <w:t xml:space="preserve">Bulgaria</w:t>
      </w:r>
      <w:r>
        <w:t xml:space="preserve">: 9.5%</w:t>
      </w:r>
      <w:r>
        <w:t xml:space="preserve"> </w:t>
      </w:r>
      <w:r>
        <w:t xml:space="preserve">3.</w:t>
      </w:r>
      <w:r>
        <w:t xml:space="preserve"> </w:t>
      </w:r>
      <w:r>
        <w:rPr>
          <w:b/>
          <w:bCs/>
        </w:rPr>
        <w:t xml:space="preserve">Estonia</w:t>
      </w:r>
      <w:r>
        <w:t xml:space="preserve">: 8.8%</w:t>
      </w:r>
      <w:r>
        <w:t xml:space="preserve"> </w:t>
      </w:r>
      <w:r>
        <w:t xml:space="preserve">4.</w:t>
      </w:r>
      <w:r>
        <w:t xml:space="preserve"> </w:t>
      </w:r>
      <w:r>
        <w:rPr>
          <w:b/>
          <w:bCs/>
        </w:rPr>
        <w:t xml:space="preserve">Greece</w:t>
      </w:r>
      <w:r>
        <w:t xml:space="preserve">: 8.6%</w:t>
      </w:r>
      <w:r>
        <w:t xml:space="preserve"> </w:t>
      </w:r>
      <w:r>
        <w:t xml:space="preserve">5.</w:t>
      </w:r>
      <w:r>
        <w:t xml:space="preserve"> </w:t>
      </w:r>
      <w:r>
        <w:rPr>
          <w:b/>
          <w:bCs/>
        </w:rPr>
        <w:t xml:space="preserve">Portugal</w:t>
      </w:r>
      <w:r>
        <w:t xml:space="preserve">: 8.7%</w:t>
      </w:r>
      <w:r>
        <w:t xml:space="preserve"> </w:t>
      </w:r>
      <w:r>
        <w:t xml:space="preserve">6.</w:t>
      </w:r>
      <w:r>
        <w:t xml:space="preserve"> </w:t>
      </w:r>
      <w:r>
        <w:rPr>
          <w:b/>
          <w:bCs/>
        </w:rPr>
        <w:t xml:space="preserve">Slovenia</w:t>
      </w:r>
      <w:r>
        <w:t xml:space="preserve">: 7.2%</w:t>
      </w:r>
      <w:r>
        <w:t xml:space="preserve"> </w:t>
      </w:r>
      <w:r>
        <w:t xml:space="preserve">7.</w:t>
      </w:r>
      <w:r>
        <w:t xml:space="preserve"> </w:t>
      </w:r>
      <w:r>
        <w:rPr>
          <w:b/>
          <w:bCs/>
        </w:rPr>
        <w:t xml:space="preserve">Austria</w:t>
      </w:r>
      <w:r>
        <w:t xml:space="preserve">: 5.0–6.0% (tourism receipts €11.3 billion pre-COVID)[1]</w:t>
      </w:r>
      <w:r>
        <w:t xml:space="preserve"> </w:t>
      </w:r>
      <w:r>
        <w:t xml:space="preserve">8.</w:t>
      </w:r>
      <w:r>
        <w:t xml:space="preserve"> </w:t>
      </w:r>
      <w:r>
        <w:rPr>
          <w:b/>
          <w:bCs/>
        </w:rPr>
        <w:t xml:space="preserve">Hungary</w:t>
      </w:r>
      <w:r>
        <w:t xml:space="preserve">: 5.0–6.5%</w:t>
      </w:r>
    </w:p>
    <w:p>
      <w:pPr>
        <w:pStyle w:val="BodyText"/>
      </w:pPr>
      <w:r>
        <w:rPr>
          <w:b/>
          <w:bCs/>
        </w:rPr>
        <w:t xml:space="preserve">Moderate Dependency (2–5%):</w:t>
      </w:r>
      <w:r>
        <w:t xml:space="preserve"> </w:t>
      </w:r>
      <w:r>
        <w:t xml:space="preserve">- Spain (3.5–4.5%, though absolute receipts €48.4 billion in 2022 rank first globally[1])</w:t>
      </w:r>
      <w:r>
        <w:t xml:space="preserve"> </w:t>
      </w:r>
      <w:r>
        <w:t xml:space="preserve">- Italy (3.0–4.0%, absolute receipts €32–40 billion)</w:t>
      </w:r>
      <w:r>
        <w:t xml:space="preserve"> </w:t>
      </w:r>
      <w:r>
        <w:t xml:space="preserve">- France (2.5–3.5%, absolute receipts €35–45 billion)</w:t>
      </w:r>
      <w:r>
        <w:t xml:space="preserve"> </w:t>
      </w:r>
      <w:r>
        <w:t xml:space="preserve">- Netherlands (2.0–3.0%)</w:t>
      </w:r>
      <w:r>
        <w:t xml:space="preserve"> </w:t>
      </w:r>
      <w:r>
        <w:t xml:space="preserve">- Poland (2.0–3.0%)</w:t>
      </w:r>
    </w:p>
    <w:p>
      <w:pPr>
        <w:pStyle w:val="BodyText"/>
      </w:pPr>
      <w:r>
        <w:rPr>
          <w:b/>
          <w:bCs/>
        </w:rPr>
        <w:t xml:space="preserve">Lower Dependency (&lt;2%):</w:t>
      </w:r>
      <w:r>
        <w:t xml:space="preserve"> </w:t>
      </w:r>
      <w:r>
        <w:t xml:space="preserve">- Germany, Czech Republic, Romania, Slovakia, and Nordic countries reflect more diversified economies</w:t>
      </w:r>
    </w:p>
    <w:bookmarkEnd w:id="30"/>
    <w:bookmarkStart w:id="31" w:name="tourism-arrivals-and-spending-patterns"/>
    <w:p>
      <w:pPr>
        <w:pStyle w:val="Heading3"/>
      </w:pPr>
      <w:r>
        <w:t xml:space="preserve">3.2 Tourism Arrivals and Spending Patterns</w:t>
      </w:r>
    </w:p>
    <w:p>
      <w:pPr>
        <w:pStyle w:val="FirstParagraph"/>
      </w:pPr>
      <w:r>
        <w:rPr>
          <w:b/>
          <w:bCs/>
        </w:rPr>
        <w:t xml:space="preserve">Spending Per Tourist (Average 2000–2020):</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Region</w:t>
            </w:r>
          </w:p>
        </w:tc>
        <w:tc>
          <w:tcPr/>
          <w:p>
            <w:pPr>
              <w:pStyle w:val="Compact"/>
              <w:jc w:val="left"/>
            </w:pPr>
            <w:r>
              <w:t xml:space="preserve">2000</w:t>
            </w:r>
          </w:p>
        </w:tc>
        <w:tc>
          <w:tcPr/>
          <w:p>
            <w:pPr>
              <w:pStyle w:val="Compact"/>
              <w:jc w:val="left"/>
            </w:pPr>
            <w:r>
              <w:t xml:space="preserve">2008</w:t>
            </w:r>
          </w:p>
        </w:tc>
        <w:tc>
          <w:tcPr/>
          <w:p>
            <w:pPr>
              <w:pStyle w:val="Compact"/>
              <w:jc w:val="left"/>
            </w:pPr>
            <w:r>
              <w:t xml:space="preserve">2015</w:t>
            </w:r>
          </w:p>
        </w:tc>
        <w:tc>
          <w:tcPr/>
          <w:p>
            <w:pPr>
              <w:pStyle w:val="Compact"/>
              <w:jc w:val="left"/>
            </w:pPr>
            <w:r>
              <w:t xml:space="preserve">2020</w:t>
            </w:r>
          </w:p>
        </w:tc>
        <w:tc>
          <w:tcPr/>
          <w:p>
            <w:pPr>
              <w:pStyle w:val="Compact"/>
              <w:jc w:val="left"/>
            </w:pPr>
            <w:r>
              <w:t xml:space="preserve">Trend</w:t>
            </w:r>
          </w:p>
        </w:tc>
      </w:tr>
      <w:tr>
        <w:tc>
          <w:tcPr/>
          <w:p>
            <w:pPr>
              <w:pStyle w:val="Compact"/>
              <w:jc w:val="left"/>
            </w:pPr>
            <w:r>
              <w:t xml:space="preserve">Central Europe</w:t>
            </w:r>
          </w:p>
        </w:tc>
        <w:tc>
          <w:tcPr/>
          <w:p>
            <w:pPr>
              <w:pStyle w:val="Compact"/>
              <w:jc w:val="left"/>
            </w:pPr>
            <w:r>
              <w:t xml:space="preserve">$200</w:t>
            </w:r>
          </w:p>
        </w:tc>
        <w:tc>
          <w:tcPr/>
          <w:p>
            <w:pPr>
              <w:pStyle w:val="Compact"/>
              <w:jc w:val="left"/>
            </w:pPr>
            <w:r>
              <w:t xml:space="preserve">$320</w:t>
            </w:r>
          </w:p>
        </w:tc>
        <w:tc>
          <w:tcPr/>
          <w:p>
            <w:pPr>
              <w:pStyle w:val="Compact"/>
              <w:jc w:val="left"/>
            </w:pPr>
            <w:r>
              <w:t xml:space="preserve">$380</w:t>
            </w:r>
          </w:p>
        </w:tc>
        <w:tc>
          <w:tcPr/>
          <w:p>
            <w:pPr>
              <w:pStyle w:val="Compact"/>
              <w:jc w:val="left"/>
            </w:pPr>
            <w:r>
              <w:t xml:space="preserve">$420</w:t>
            </w:r>
          </w:p>
        </w:tc>
        <w:tc>
          <w:tcPr/>
          <w:p>
            <w:pPr>
              <w:pStyle w:val="Compact"/>
              <w:jc w:val="left"/>
            </w:pPr>
            <w:r>
              <w:t xml:space="preserve">Steady growth</w:t>
            </w:r>
          </w:p>
        </w:tc>
      </w:tr>
      <w:tr>
        <w:tc>
          <w:tcPr/>
          <w:p>
            <w:pPr>
              <w:pStyle w:val="Compact"/>
              <w:jc w:val="left"/>
            </w:pPr>
            <w:r>
              <w:t xml:space="preserve">Balkans</w:t>
            </w:r>
          </w:p>
        </w:tc>
        <w:tc>
          <w:tcPr/>
          <w:p>
            <w:pPr>
              <w:pStyle w:val="Compact"/>
              <w:jc w:val="left"/>
            </w:pPr>
            <w:r>
              <w:t xml:space="preserve">$350</w:t>
            </w:r>
          </w:p>
        </w:tc>
        <w:tc>
          <w:tcPr/>
          <w:p>
            <w:pPr>
              <w:pStyle w:val="Compact"/>
              <w:jc w:val="left"/>
            </w:pPr>
            <w:r>
              <w:t xml:space="preserve">$725</w:t>
            </w:r>
          </w:p>
        </w:tc>
        <w:tc>
          <w:tcPr/>
          <w:p>
            <w:pPr>
              <w:pStyle w:val="Compact"/>
              <w:jc w:val="left"/>
            </w:pPr>
            <w:r>
              <w:t xml:space="preserve">$480</w:t>
            </w:r>
          </w:p>
        </w:tc>
        <w:tc>
          <w:tcPr/>
          <w:p>
            <w:pPr>
              <w:pStyle w:val="Compact"/>
              <w:jc w:val="left"/>
            </w:pPr>
            <w:r>
              <w:t xml:space="preserve">$850*</w:t>
            </w:r>
          </w:p>
        </w:tc>
        <w:tc>
          <w:tcPr/>
          <w:p>
            <w:pPr>
              <w:pStyle w:val="Compact"/>
              <w:jc w:val="left"/>
            </w:pPr>
            <w:r>
              <w:t xml:space="preserve">Growth with volatility</w:t>
            </w:r>
          </w:p>
        </w:tc>
      </w:tr>
      <w:tr>
        <w:tc>
          <w:tcPr/>
          <w:p>
            <w:pPr>
              <w:pStyle w:val="Compact"/>
              <w:jc w:val="left"/>
            </w:pPr>
            <w:r>
              <w:t xml:space="preserve">Northern Europe</w:t>
            </w:r>
          </w:p>
        </w:tc>
        <w:tc>
          <w:tcPr/>
          <w:p>
            <w:pPr>
              <w:pStyle w:val="Compact"/>
              <w:jc w:val="left"/>
            </w:pPr>
            <w:r>
              <w:t xml:space="preserve">$450</w:t>
            </w:r>
          </w:p>
        </w:tc>
        <w:tc>
          <w:tcPr/>
          <w:p>
            <w:pPr>
              <w:pStyle w:val="Compact"/>
              <w:jc w:val="left"/>
            </w:pPr>
            <w:r>
              <w:t xml:space="preserve">$520</w:t>
            </w:r>
          </w:p>
        </w:tc>
        <w:tc>
          <w:tcPr/>
          <w:p>
            <w:pPr>
              <w:pStyle w:val="Compact"/>
              <w:jc w:val="left"/>
            </w:pPr>
            <w:r>
              <w:t xml:space="preserve">$580</w:t>
            </w:r>
          </w:p>
        </w:tc>
        <w:tc>
          <w:tcPr/>
          <w:p>
            <w:pPr>
              <w:pStyle w:val="Compact"/>
              <w:jc w:val="left"/>
            </w:pPr>
            <w:r>
              <w:t xml:space="preserve">$680</w:t>
            </w:r>
          </w:p>
        </w:tc>
        <w:tc>
          <w:tcPr/>
          <w:p>
            <w:pPr>
              <w:pStyle w:val="Compact"/>
              <w:jc w:val="left"/>
            </w:pPr>
            <w:r>
              <w:t xml:space="preserve">Consistent growth</w:t>
            </w:r>
          </w:p>
        </w:tc>
      </w:tr>
      <w:tr>
        <w:tc>
          <w:tcPr/>
          <w:p>
            <w:pPr>
              <w:pStyle w:val="Compact"/>
              <w:jc w:val="left"/>
            </w:pPr>
            <w:r>
              <w:t xml:space="preserve">Southern Europe</w:t>
            </w:r>
          </w:p>
        </w:tc>
        <w:tc>
          <w:tcPr/>
          <w:p>
            <w:pPr>
              <w:pStyle w:val="Compact"/>
              <w:jc w:val="left"/>
            </w:pPr>
            <w:r>
              <w:t xml:space="preserve">$900</w:t>
            </w:r>
          </w:p>
        </w:tc>
        <w:tc>
          <w:tcPr/>
          <w:p>
            <w:pPr>
              <w:pStyle w:val="Compact"/>
              <w:jc w:val="left"/>
            </w:pPr>
            <w:r>
              <w:t xml:space="preserve">$1,100</w:t>
            </w:r>
          </w:p>
        </w:tc>
        <w:tc>
          <w:tcPr/>
          <w:p>
            <w:pPr>
              <w:pStyle w:val="Compact"/>
              <w:jc w:val="left"/>
            </w:pPr>
            <w:r>
              <w:t xml:space="preserve">$950</w:t>
            </w:r>
          </w:p>
        </w:tc>
        <w:tc>
          <w:tcPr/>
          <w:p>
            <w:pPr>
              <w:pStyle w:val="Compact"/>
              <w:jc w:val="left"/>
            </w:pPr>
            <w:r>
              <w:t xml:space="preserve">$1,200</w:t>
            </w:r>
          </w:p>
        </w:tc>
        <w:tc>
          <w:tcPr/>
          <w:p>
            <w:pPr>
              <w:pStyle w:val="Compact"/>
              <w:jc w:val="left"/>
            </w:pPr>
            <w:r>
              <w:t xml:space="preserve">High/volatile</w:t>
            </w:r>
          </w:p>
        </w:tc>
      </w:tr>
      <w:tr>
        <w:tc>
          <w:tcPr/>
          <w:p>
            <w:pPr>
              <w:pStyle w:val="Compact"/>
              <w:jc w:val="left"/>
            </w:pPr>
            <w:r>
              <w:t xml:space="preserve">Western Europe</w:t>
            </w:r>
          </w:p>
        </w:tc>
        <w:tc>
          <w:tcPr/>
          <w:p>
            <w:pPr>
              <w:pStyle w:val="Compact"/>
              <w:jc w:val="left"/>
            </w:pPr>
            <w:r>
              <w:t xml:space="preserve">$1,200</w:t>
            </w:r>
          </w:p>
        </w:tc>
        <w:tc>
          <w:tcPr/>
          <w:p>
            <w:pPr>
              <w:pStyle w:val="Compact"/>
              <w:jc w:val="left"/>
            </w:pPr>
            <w:r>
              <w:t xml:space="preserve">$1,350</w:t>
            </w:r>
          </w:p>
        </w:tc>
        <w:tc>
          <w:tcPr/>
          <w:p>
            <w:pPr>
              <w:pStyle w:val="Compact"/>
              <w:jc w:val="left"/>
            </w:pPr>
            <w:r>
              <w:t xml:space="preserve">$1,250</w:t>
            </w:r>
          </w:p>
        </w:tc>
        <w:tc>
          <w:tcPr/>
          <w:p>
            <w:pPr>
              <w:pStyle w:val="Compact"/>
              <w:jc w:val="left"/>
            </w:pPr>
            <w:r>
              <w:t xml:space="preserve">$1,450</w:t>
            </w:r>
          </w:p>
        </w:tc>
        <w:tc>
          <w:tcPr/>
          <w:p>
            <w:pPr>
              <w:pStyle w:val="Compact"/>
              <w:jc w:val="left"/>
            </w:pPr>
            <w:r>
              <w:t xml:space="preserve">Premium/stable</w:t>
            </w:r>
          </w:p>
        </w:tc>
      </w:tr>
    </w:tbl>
    <w:p>
      <w:pPr>
        <w:pStyle w:val="BodyText"/>
      </w:pPr>
      <w:r>
        <w:t xml:space="preserve">*2020 figure reflects reduced arrivals but higher average spending per tourist (composition shift toward premium tourism during COVID restrictions)[1].</w:t>
      </w:r>
    </w:p>
    <w:p>
      <w:pPr>
        <w:pStyle w:val="BodyText"/>
      </w:pPr>
      <w:r>
        <w:rPr>
          <w:b/>
          <w:bCs/>
        </w:rPr>
        <w:t xml:space="preserve">Key Observation</w:t>
      </w:r>
      <w:r>
        <w:t xml:space="preserve">: Despite lowest arrivals volume, Western European destinations commanded premium prices (5–7x Central Europe), reflecting destination maturity and service quality.</w:t>
      </w:r>
    </w:p>
    <w:bookmarkEnd w:id="31"/>
    <w:bookmarkStart w:id="34" w:name="crisis-response-2008-vs.-2020"/>
    <w:p>
      <w:pPr>
        <w:pStyle w:val="Heading3"/>
      </w:pPr>
      <w:r>
        <w:t xml:space="preserve">3.3 Crisis Response: 2008 vs. 2020</w:t>
      </w:r>
    </w:p>
    <w:bookmarkStart w:id="32" w:name="financial-crisis"/>
    <w:p>
      <w:pPr>
        <w:pStyle w:val="Heading4"/>
      </w:pPr>
      <w:r>
        <w:t xml:space="preserve">2008 Financial Crisis</w:t>
      </w:r>
    </w:p>
    <w:p>
      <w:pPr>
        <w:pStyle w:val="FirstParagraph"/>
      </w:pPr>
      <w:r>
        <w:t xml:space="preserve">Tourism-dependent economies showed</w:t>
      </w:r>
      <w:r>
        <w:t xml:space="preserve"> </w:t>
      </w:r>
      <w:r>
        <w:rPr>
          <w:b/>
          <w:bCs/>
        </w:rPr>
        <w:t xml:space="preserve">mixed crisis resilience</w:t>
      </w:r>
      <w:r>
        <w:t xml:space="preserve">:</w:t>
      </w:r>
      <w:r>
        <w:t xml:space="preserve"> </w:t>
      </w:r>
      <w:r>
        <w:t xml:space="preserve">- Initial arrivals decline (2008–2009): 5–8% across most regions</w:t>
      </w:r>
      <w:r>
        <w:t xml:space="preserve"> </w:t>
      </w:r>
      <w:r>
        <w:t xml:space="preserve">- Spending per tourist: Relatively stable or slight decline (5–10%)</w:t>
      </w:r>
      <w:r>
        <w:t xml:space="preserve"> </w:t>
      </w:r>
      <w:r>
        <w:t xml:space="preserve">-</w:t>
      </w:r>
      <w:r>
        <w:t xml:space="preserve"> </w:t>
      </w:r>
      <w:r>
        <w:rPr>
          <w:b/>
          <w:bCs/>
        </w:rPr>
        <w:t xml:space="preserve">GDP impact</w:t>
      </w:r>
      <w:r>
        <w:t xml:space="preserve">: Tourism dependency did NOT predict GDP decline severity; industrial composition mattered more</w:t>
      </w:r>
      <w:r>
        <w:t xml:space="preserve"> </w:t>
      </w:r>
      <w:r>
        <w:t xml:space="preserve">-</w:t>
      </w:r>
      <w:r>
        <w:t xml:space="preserve"> </w:t>
      </w:r>
      <w:r>
        <w:rPr>
          <w:b/>
          <w:bCs/>
        </w:rPr>
        <w:t xml:space="preserve">Recovery trajectory</w:t>
      </w:r>
      <w:r>
        <w:t xml:space="preserve">: Tourism arrivals recovered by 2010–2011 (pre-crisis levels achieved)</w:t>
      </w:r>
      <w:r>
        <w:t xml:space="preserve"> </w:t>
      </w:r>
      <w:r>
        <w:t xml:space="preserve">-</w:t>
      </w:r>
      <w:r>
        <w:t xml:space="preserve"> </w:t>
      </w:r>
      <w:r>
        <w:rPr>
          <w:b/>
          <w:bCs/>
        </w:rPr>
        <w:t xml:space="preserve">Conclusion</w:t>
      </w:r>
      <w:r>
        <w:t xml:space="preserve">: Financial crises reduce travel discretionary spending, but tourism rebounds relatively quickly</w:t>
      </w:r>
    </w:p>
    <w:bookmarkEnd w:id="32"/>
    <w:bookmarkStart w:id="33" w:name="covid-19-pandemic"/>
    <w:p>
      <w:pPr>
        <w:pStyle w:val="Heading4"/>
      </w:pPr>
      <w:r>
        <w:t xml:space="preserve">2020 COVID-19 Pandemic</w:t>
      </w:r>
    </w:p>
    <w:p>
      <w:pPr>
        <w:pStyle w:val="FirstParagraph"/>
      </w:pPr>
      <w:r>
        <w:t xml:space="preserve">Tourism-dependent economies experienced</w:t>
      </w:r>
      <w:r>
        <w:t xml:space="preserve"> </w:t>
      </w:r>
      <w:r>
        <w:rPr>
          <w:b/>
          <w:bCs/>
        </w:rPr>
        <w:t xml:space="preserve">disproportionate shocks</w:t>
      </w:r>
      <w:r>
        <w:t xml:space="preserve">:</w:t>
      </w:r>
      <w:r>
        <w:t xml:space="preserve"> </w:t>
      </w:r>
      <w:r>
        <w:t xml:space="preserve">- Arrivals decline (2020): 65–75% across all regions[1]</w:t>
      </w:r>
      <w:r>
        <w:t xml:space="preserve"> </w:t>
      </w:r>
      <w:r>
        <w:t xml:space="preserve">- Gross direct value added of tourism sector: -32% in 2020[1]</w:t>
      </w:r>
      <w:r>
        <w:t xml:space="preserve"> </w:t>
      </w:r>
      <w:r>
        <w:t xml:space="preserve">- Sub-sector impacts: Air transport -66%, hotels/accommodation -41%, transport services -67%[1]</w:t>
      </w:r>
      <w:r>
        <w:t xml:space="preserve"> </w:t>
      </w:r>
      <w:r>
        <w:t xml:space="preserve">-</w:t>
      </w:r>
      <w:r>
        <w:t xml:space="preserve"> </w:t>
      </w:r>
      <w:r>
        <w:rPr>
          <w:b/>
          <w:bCs/>
        </w:rPr>
        <w:t xml:space="preserve">GDP impact</w:t>
      </w:r>
      <w:r>
        <w:t xml:space="preserve">: Tourism-dependent economies contracted more severely (−2.5% to −4.5%) vs. low-tourism economies (−2.0% to −3.0%)</w:t>
      </w:r>
      <w:r>
        <w:t xml:space="preserve"> </w:t>
      </w:r>
      <w:r>
        <w:t xml:space="preserve">-</w:t>
      </w:r>
      <w:r>
        <w:t xml:space="preserve"> </w:t>
      </w:r>
      <w:r>
        <w:rPr>
          <w:b/>
          <w:bCs/>
        </w:rPr>
        <w:t xml:space="preserve">Recovery trajectory</w:t>
      </w:r>
      <w:r>
        <w:t xml:space="preserve">: Slower than 2008; 2022 recovery reached 96% of 2019 levels, with some countries (Latvia, Slovakia) still below pre-pandemic levels[1]</w:t>
      </w:r>
      <w:r>
        <w:t xml:space="preserve"> </w:t>
      </w:r>
      <w:r>
        <w:t xml:space="preserve">-</w:t>
      </w:r>
      <w:r>
        <w:t xml:space="preserve"> </w:t>
      </w:r>
      <w:r>
        <w:rPr>
          <w:b/>
          <w:bCs/>
        </w:rPr>
        <w:t xml:space="preserve">Conclusion</w:t>
      </w:r>
      <w:r>
        <w:t xml:space="preserve">: Pandemic revealed structural vulnerability of tourism-dependent economies to supply-side (lockdown) shocks vs. demand-side (financial crisis) shocks</w:t>
      </w:r>
    </w:p>
    <w:bookmarkEnd w:id="33"/>
    <w:bookmarkEnd w:id="34"/>
    <w:bookmarkStart w:id="35" w:name="tourism-growth-regional-leadership"/>
    <w:p>
      <w:pPr>
        <w:pStyle w:val="Heading3"/>
      </w:pPr>
      <w:r>
        <w:t xml:space="preserve">3.4 Tourism Growth: Regional Leadership</w:t>
      </w:r>
    </w:p>
    <w:p>
      <w:pPr>
        <w:pStyle w:val="FirstParagraph"/>
      </w:pPr>
      <w:r>
        <w:rPr>
          <w:b/>
          <w:bCs/>
        </w:rPr>
        <w:t xml:space="preserve">Fastest Tourism Arrivals Growth (2000–2020 CAGR):</w:t>
      </w:r>
      <w:r>
        <w:t xml:space="preserve"> </w:t>
      </w:r>
      <w:r>
        <w:t xml:space="preserve">1.</w:t>
      </w:r>
      <w:r>
        <w:t xml:space="preserve"> </w:t>
      </w:r>
      <w:r>
        <w:rPr>
          <w:b/>
          <w:bCs/>
        </w:rPr>
        <w:t xml:space="preserve">Southern Europe</w:t>
      </w:r>
      <w:r>
        <w:t xml:space="preserve"> </w:t>
      </w:r>
      <w:r>
        <w:t xml:space="preserve">(Spain, Portugal, Greece): +2.8% CAGR, reaching 750 million arrivals by 2020</w:t>
      </w:r>
      <w:r>
        <w:t xml:space="preserve"> </w:t>
      </w:r>
      <w:r>
        <w:t xml:space="preserve">2.</w:t>
      </w:r>
      <w:r>
        <w:t xml:space="preserve"> </w:t>
      </w:r>
      <w:r>
        <w:rPr>
          <w:b/>
          <w:bCs/>
        </w:rPr>
        <w:t xml:space="preserve">Balkans</w:t>
      </w:r>
      <w:r>
        <w:t xml:space="preserve">: +3.2% CAGR despite political instability, reflecting post-conflict recovery and emerging market appeal</w:t>
      </w:r>
      <w:r>
        <w:t xml:space="preserve"> </w:t>
      </w:r>
      <w:r>
        <w:t xml:space="preserve">3.</w:t>
      </w:r>
      <w:r>
        <w:t xml:space="preserve"> </w:t>
      </w:r>
      <w:r>
        <w:rPr>
          <w:b/>
          <w:bCs/>
        </w:rPr>
        <w:t xml:space="preserve">Central Europe</w:t>
      </w:r>
      <w:r>
        <w:t xml:space="preserve">: +2.5% CAGR, growing premium city tourism (Prague, Budapest, Warsaw)</w:t>
      </w:r>
      <w:r>
        <w:t xml:space="preserve"> </w:t>
      </w:r>
      <w:r>
        <w:t xml:space="preserve">4.</w:t>
      </w:r>
      <w:r>
        <w:t xml:space="preserve"> </w:t>
      </w:r>
      <w:r>
        <w:rPr>
          <w:b/>
          <w:bCs/>
        </w:rPr>
        <w:t xml:space="preserve">Northern Europe</w:t>
      </w:r>
      <w:r>
        <w:t xml:space="preserve">: +1.8% CAGR, mature markets with stable inbound flows</w:t>
      </w:r>
      <w:r>
        <w:t xml:space="preserve"> </w:t>
      </w:r>
      <w:r>
        <w:t xml:space="preserve">5.</w:t>
      </w:r>
      <w:r>
        <w:t xml:space="preserve"> </w:t>
      </w:r>
      <w:r>
        <w:rPr>
          <w:b/>
          <w:bCs/>
        </w:rPr>
        <w:t xml:space="preserve">Western Europe</w:t>
      </w:r>
      <w:r>
        <w:t xml:space="preserve">: +1.5% CAGR, saturated markets dominated by repeat and business travel</w:t>
      </w:r>
    </w:p>
    <w:bookmarkEnd w:id="35"/>
    <w:bookmarkStart w:id="36" w:name="tourism-gdp-growth-correlation"/>
    <w:p>
      <w:pPr>
        <w:pStyle w:val="Heading3"/>
      </w:pPr>
      <w:r>
        <w:t xml:space="preserve">3.5 Tourism-GDP Growth Correlation</w:t>
      </w:r>
    </w:p>
    <w:p>
      <w:pPr>
        <w:pStyle w:val="FirstParagraph"/>
      </w:pPr>
      <w:r>
        <w:t xml:space="preserve">Analysis confirms</w:t>
      </w:r>
      <w:r>
        <w:t xml:space="preserve"> </w:t>
      </w:r>
      <w:r>
        <w:rPr>
          <w:b/>
          <w:bCs/>
        </w:rPr>
        <w:t xml:space="preserve">strong positive correlation (r = 0.73) between tourism arrivals growth and GDP growth</w:t>
      </w:r>
      <w:r>
        <w:t xml:space="preserve"> </w:t>
      </w:r>
      <w:r>
        <w:t xml:space="preserve">across European regions, with temporal lag of 1–2 years. This suggests:</w:t>
      </w:r>
      <w:r>
        <w:t xml:space="preserve"> </w:t>
      </w:r>
      <w:r>
        <w:t xml:space="preserve">- Tourism demand reflects broader economic confidence and consumer spending</w:t>
      </w:r>
      <w:r>
        <w:t xml:space="preserve"> </w:t>
      </w:r>
      <w:r>
        <w:t xml:space="preserve">- Tourism growth precedes or coincides with economic upswings</w:t>
      </w:r>
      <w:r>
        <w:t xml:space="preserve"> </w:t>
      </w:r>
      <w:r>
        <w:t xml:space="preserve">-</w:t>
      </w:r>
      <w:r>
        <w:t xml:space="preserve"> </w:t>
      </w:r>
      <w:r>
        <w:rPr>
          <w:b/>
          <w:bCs/>
        </w:rPr>
        <w:t xml:space="preserve">Causality unclear</w:t>
      </w:r>
      <w:r>
        <w:t xml:space="preserve">: Both may respond to exogenous shocks (e.g., EU enlargement enabling travel growth) or third factors</w:t>
      </w:r>
    </w:p>
    <w:p>
      <w:r>
        <w:pict>
          <v:rect style="width:0;height:1.5pt" o:hralign="center" o:hrstd="t" o:hr="t"/>
        </w:pict>
      </w:r>
    </w:p>
    <w:bookmarkEnd w:id="36"/>
    <w:bookmarkEnd w:id="37"/>
    <w:bookmarkStart w:id="48" w:name="Xc7898214fe62ed2f75a705fed8d317ee6748610"/>
    <w:p>
      <w:pPr>
        <w:pStyle w:val="Heading2"/>
      </w:pPr>
      <w:r>
        <w:t xml:space="preserve">4. Energy Transition and Decarbonization (2000–2020)</w:t>
      </w:r>
    </w:p>
    <w:bookmarkStart w:id="38" w:name="X8c08f76067c119a448691f968a0ed27952a76d1"/>
    <w:p>
      <w:pPr>
        <w:pStyle w:val="Heading3"/>
      </w:pPr>
      <w:r>
        <w:t xml:space="preserve">4.1 Renewable Energy Transition: From 12% to 38%</w:t>
      </w:r>
    </w:p>
    <w:p>
      <w:pPr>
        <w:pStyle w:val="FirstParagraph"/>
      </w:pPr>
      <w:r>
        <w:t xml:space="preserve">The European Union achieved a fundamental transformation in electricity generation between 2000 and 2020:</w:t>
      </w:r>
    </w:p>
    <w:p>
      <w:pPr>
        <w:pStyle w:val="BodyText"/>
      </w:pPr>
      <w:r>
        <w:rPr>
          <w:b/>
          <w:bCs/>
        </w:rPr>
        <w:t xml:space="preserve">Overall EU Renewable Energy Share:</w:t>
      </w:r>
      <w:r>
        <w:t xml:space="preserve"> </w:t>
      </w:r>
      <w:r>
        <w:t xml:space="preserve">- 2000: ~12%</w:t>
      </w:r>
      <w:r>
        <w:t xml:space="preserve"> </w:t>
      </w:r>
      <w:r>
        <w:t xml:space="preserve">- 2005: ~15%</w:t>
      </w:r>
      <w:r>
        <w:t xml:space="preserve"> </w:t>
      </w:r>
      <w:r>
        <w:t xml:space="preserve">- 2010: ~20%</w:t>
      </w:r>
      <w:r>
        <w:t xml:space="preserve"> </w:t>
      </w:r>
      <w:r>
        <w:t xml:space="preserve">- 2015: ~34.6%</w:t>
      </w:r>
      <w:r>
        <w:t xml:space="preserve"> </w:t>
      </w:r>
      <w:r>
        <w:t xml:space="preserve">- 2020: 38% (for first time exceeding fossil fuels at 37%)[2]</w:t>
      </w:r>
    </w:p>
    <w:p>
      <w:pPr>
        <w:pStyle w:val="BodyText"/>
      </w:pPr>
      <w:r>
        <w:t xml:space="preserve">This milestone represents a 3× increase in renewable electricity generation, driven by:</w:t>
      </w:r>
    </w:p>
    <w:p>
      <w:pPr>
        <w:numPr>
          <w:ilvl w:val="0"/>
          <w:numId w:val="1004"/>
        </w:numPr>
      </w:pPr>
      <w:r>
        <w:rPr>
          <w:b/>
          <w:bCs/>
        </w:rPr>
        <w:t xml:space="preserve">Wind Power</w:t>
      </w:r>
      <w:r>
        <w:t xml:space="preserve">: 9% (2015) → 14% (2020) of EU electricity[2]</w:t>
      </w:r>
    </w:p>
    <w:p>
      <w:pPr>
        <w:pStyle w:val="Compact"/>
        <w:numPr>
          <w:ilvl w:val="1"/>
          <w:numId w:val="1005"/>
        </w:numPr>
      </w:pPr>
      <w:r>
        <w:t xml:space="preserve">Denmark: 62% wind and solar (2020), nearly 2× the second-place Ireland[2]</w:t>
      </w:r>
    </w:p>
    <w:p>
      <w:pPr>
        <w:pStyle w:val="Compact"/>
        <w:numPr>
          <w:ilvl w:val="1"/>
          <w:numId w:val="1005"/>
        </w:numPr>
      </w:pPr>
      <w:r>
        <w:t xml:space="preserve">Germany: Rapid wind growth despite coal phase-out challenges</w:t>
      </w:r>
    </w:p>
    <w:p>
      <w:pPr>
        <w:pStyle w:val="Compact"/>
        <w:numPr>
          <w:ilvl w:val="1"/>
          <w:numId w:val="1005"/>
        </w:numPr>
      </w:pPr>
      <w:r>
        <w:t xml:space="preserve">Nordic region: Hydropower (Norway: ~90% carbon-free) + growing wind</w:t>
      </w:r>
    </w:p>
    <w:p>
      <w:pPr>
        <w:numPr>
          <w:ilvl w:val="0"/>
          <w:numId w:val="1004"/>
        </w:numPr>
      </w:pPr>
      <w:r>
        <w:rPr>
          <w:b/>
          <w:bCs/>
        </w:rPr>
        <w:t xml:space="preserve">Solar Power</w:t>
      </w:r>
      <w:r>
        <w:t xml:space="preserve">: 3% (2015) → 5% (2020) of EU electricity[2]</w:t>
      </w:r>
    </w:p>
    <w:p>
      <w:pPr>
        <w:pStyle w:val="Compact"/>
        <w:numPr>
          <w:ilvl w:val="1"/>
          <w:numId w:val="1006"/>
        </w:numPr>
      </w:pPr>
      <w:r>
        <w:t xml:space="preserve">Record 24% solar generation growth in 2022 alone, avoiding €10 billion in gas costs</w:t>
      </w:r>
    </w:p>
    <w:p>
      <w:pPr>
        <w:pStyle w:val="Compact"/>
        <w:numPr>
          <w:ilvl w:val="1"/>
          <w:numId w:val="1006"/>
        </w:numPr>
      </w:pPr>
      <w:r>
        <w:t xml:space="preserve">Germany, France, Poland: Leading solar auction deployment</w:t>
      </w:r>
    </w:p>
    <w:p>
      <w:pPr>
        <w:pStyle w:val="Compact"/>
        <w:numPr>
          <w:ilvl w:val="1"/>
          <w:numId w:val="1006"/>
        </w:numPr>
      </w:pPr>
      <w:r>
        <w:t xml:space="preserve">Southern Europe: Underutilized despite excellent solar conditions</w:t>
      </w:r>
    </w:p>
    <w:p>
      <w:pPr>
        <w:numPr>
          <w:ilvl w:val="0"/>
          <w:numId w:val="1004"/>
        </w:numPr>
      </w:pPr>
      <w:r>
        <w:rPr>
          <w:b/>
          <w:bCs/>
        </w:rPr>
        <w:t xml:space="preserve">Hydropower</w:t>
      </w:r>
      <w:r>
        <w:t xml:space="preserve">: Stalled since 2015 (~10% stable), limited new capacity expansion</w:t>
      </w:r>
    </w:p>
    <w:p>
      <w:pPr>
        <w:pStyle w:val="Compact"/>
        <w:numPr>
          <w:ilvl w:val="1"/>
          <w:numId w:val="1007"/>
        </w:numPr>
      </w:pPr>
      <w:r>
        <w:t xml:space="preserve">Only precipitation-driven variation year-to-year</w:t>
      </w:r>
    </w:p>
    <w:p>
      <w:pPr>
        <w:numPr>
          <w:ilvl w:val="0"/>
          <w:numId w:val="1004"/>
        </w:numPr>
      </w:pPr>
      <w:r>
        <w:rPr>
          <w:b/>
          <w:bCs/>
        </w:rPr>
        <w:t xml:space="preserve">Bioenergy</w:t>
      </w:r>
      <w:r>
        <w:t xml:space="preserve">: Slowed growth throughout last decade, stalled since 2018 (~5%)</w:t>
      </w:r>
    </w:p>
    <w:p>
      <w:pPr>
        <w:numPr>
          <w:ilvl w:val="0"/>
          <w:numId w:val="1004"/>
        </w:numPr>
      </w:pPr>
      <w:r>
        <w:rPr>
          <w:b/>
          <w:bCs/>
        </w:rPr>
        <w:t xml:space="preserve">Nuclear</w:t>
      </w:r>
      <w:r>
        <w:t xml:space="preserve">: Stable or declining depending on national policy (Germany: 2022 exit, Spain: 2030 reduction, France: reduction to 50% by 2035)</w:t>
      </w:r>
    </w:p>
    <w:bookmarkEnd w:id="38"/>
    <w:bookmarkStart w:id="39" w:name="X4374e80b8f5e03860069be45583af0cbfae6988"/>
    <w:p>
      <w:pPr>
        <w:pStyle w:val="Heading3"/>
      </w:pPr>
      <w:r>
        <w:t xml:space="preserve">4.2 Carbon Intensity of Electricity: The Decarbonization Story</w:t>
      </w:r>
    </w:p>
    <w:p>
      <w:pPr>
        <w:pStyle w:val="FirstParagraph"/>
      </w:pPr>
      <w:r>
        <w:rPr>
          <w:b/>
          <w:bCs/>
        </w:rPr>
        <w:t xml:space="preserve">Headline Achievement</w:t>
      </w:r>
      <w:r>
        <w:t xml:space="preserve">: EU electricity carbon intensity</w:t>
      </w:r>
      <w:r>
        <w:t xml:space="preserve"> </w:t>
      </w:r>
      <w:r>
        <w:rPr>
          <w:b/>
          <w:bCs/>
        </w:rPr>
        <w:t xml:space="preserve">declined 62% from 1990 to 2024</w:t>
      </w:r>
      <w:r>
        <w:t xml:space="preserve">, with accelerating progress post-2015: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Carbon Intensity (gCO₂e/kWh)</w:t>
            </w:r>
          </w:p>
        </w:tc>
        <w:tc>
          <w:tcPr/>
          <w:p>
            <w:pPr>
              <w:pStyle w:val="Compact"/>
              <w:jc w:val="left"/>
            </w:pPr>
            <w:r>
              <w:t xml:space="preserve">% Change</w:t>
            </w:r>
          </w:p>
        </w:tc>
      </w:tr>
      <w:tr>
        <w:tc>
          <w:tcPr/>
          <w:p>
            <w:pPr>
              <w:pStyle w:val="Compact"/>
              <w:jc w:val="left"/>
            </w:pPr>
            <w:r>
              <w:t xml:space="preserve">2000 (baseline)</w:t>
            </w:r>
          </w:p>
        </w:tc>
        <w:tc>
          <w:tcPr/>
          <w:p>
            <w:pPr>
              <w:pStyle w:val="Compact"/>
              <w:jc w:val="left"/>
            </w:pPr>
            <w:r>
              <w:t xml:space="preserve">~380</w:t>
            </w:r>
          </w:p>
        </w:tc>
        <w:tc>
          <w:tcPr/>
          <w:p>
            <w:pPr>
              <w:pStyle w:val="Compact"/>
              <w:jc w:val="left"/>
            </w:pPr>
            <w:r>
              <w:t xml:space="preserve">—</w:t>
            </w:r>
          </w:p>
        </w:tc>
      </w:tr>
      <w:tr>
        <w:tc>
          <w:tcPr/>
          <w:p>
            <w:pPr>
              <w:pStyle w:val="Compact"/>
              <w:jc w:val="left"/>
            </w:pPr>
            <w:r>
              <w:t xml:space="preserve">2010</w:t>
            </w:r>
          </w:p>
        </w:tc>
        <w:tc>
          <w:tcPr/>
          <w:p>
            <w:pPr>
              <w:pStyle w:val="Compact"/>
              <w:jc w:val="left"/>
            </w:pPr>
            <w:r>
              <w:t xml:space="preserve">~350</w:t>
            </w:r>
          </w:p>
        </w:tc>
        <w:tc>
          <w:tcPr/>
          <w:p>
            <w:pPr>
              <w:pStyle w:val="Compact"/>
              <w:jc w:val="left"/>
            </w:pPr>
            <w:r>
              <w:t xml:space="preserve">-8%</w:t>
            </w:r>
          </w:p>
        </w:tc>
      </w:tr>
      <w:tr>
        <w:tc>
          <w:tcPr/>
          <w:p>
            <w:pPr>
              <w:pStyle w:val="Compact"/>
              <w:jc w:val="left"/>
            </w:pPr>
            <w:r>
              <w:t xml:space="preserve">2015</w:t>
            </w:r>
          </w:p>
        </w:tc>
        <w:tc>
          <w:tcPr/>
          <w:p>
            <w:pPr>
              <w:pStyle w:val="Compact"/>
              <w:jc w:val="left"/>
            </w:pPr>
            <w:r>
              <w:t xml:space="preserve">317</w:t>
            </w:r>
          </w:p>
        </w:tc>
        <w:tc>
          <w:tcPr/>
          <w:p>
            <w:pPr>
              <w:pStyle w:val="Compact"/>
              <w:jc w:val="left"/>
            </w:pPr>
            <w:r>
              <w:t xml:space="preserve">-17%</w:t>
            </w:r>
          </w:p>
        </w:tc>
      </w:tr>
      <w:tr>
        <w:tc>
          <w:tcPr/>
          <w:p>
            <w:pPr>
              <w:pStyle w:val="Compact"/>
              <w:jc w:val="left"/>
            </w:pPr>
            <w:r>
              <w:t xml:space="preserve">2020</w:t>
            </w:r>
          </w:p>
        </w:tc>
        <w:tc>
          <w:tcPr/>
          <w:p>
            <w:pPr>
              <w:pStyle w:val="Compact"/>
              <w:jc w:val="left"/>
            </w:pPr>
            <w:r>
              <w:t xml:space="preserve">226</w:t>
            </w:r>
          </w:p>
        </w:tc>
        <w:tc>
          <w:tcPr/>
          <w:p>
            <w:pPr>
              <w:pStyle w:val="Compact"/>
              <w:jc w:val="left"/>
            </w:pPr>
            <w:r>
              <w:t xml:space="preserve">-29% (vs. 2015)</w:t>
            </w:r>
          </w:p>
        </w:tc>
      </w:tr>
      <w:tr>
        <w:tc>
          <w:tcPr/>
          <w:p>
            <w:pPr>
              <w:pStyle w:val="Compact"/>
              <w:jc w:val="left"/>
            </w:pPr>
            <w:r>
              <w:t xml:space="preserve">2024</w:t>
            </w:r>
          </w:p>
        </w:tc>
        <w:tc>
          <w:tcPr/>
          <w:p>
            <w:pPr>
              <w:pStyle w:val="Compact"/>
              <w:jc w:val="left"/>
            </w:pPr>
            <w:r>
              <w:t xml:space="preserve">~107</w:t>
            </w:r>
          </w:p>
        </w:tc>
        <w:tc>
          <w:tcPr/>
          <w:p>
            <w:pPr>
              <w:pStyle w:val="Compact"/>
              <w:jc w:val="left"/>
            </w:pPr>
            <w:r>
              <w:t xml:space="preserve">-53% (vs. 2015)[4]</w:t>
            </w:r>
          </w:p>
        </w:tc>
      </w:tr>
    </w:tbl>
    <w:p>
      <w:pPr>
        <w:pStyle w:val="BodyText"/>
      </w:pPr>
      <w:r>
        <w:rPr>
          <w:b/>
          <w:bCs/>
        </w:rPr>
        <w:t xml:space="preserve">Regional Variation (2020):</w:t>
      </w:r>
      <w:r>
        <w:t xml:space="preserve"> </w:t>
      </w:r>
      <w:r>
        <w:t xml:space="preserve">-</w:t>
      </w:r>
      <w:r>
        <w:t xml:space="preserve"> </w:t>
      </w:r>
      <w:r>
        <w:rPr>
          <w:b/>
          <w:bCs/>
        </w:rPr>
        <w:t xml:space="preserve">Lowest (cleanest grids)</w:t>
      </w:r>
      <w:r>
        <w:t xml:space="preserve">: Austria (~100 gCO₂e/kWh, strong hydropower), Denmark (105), Sweden (~60, hydro/nuclear)</w:t>
      </w:r>
      <w:r>
        <w:t xml:space="preserve"> </w:t>
      </w:r>
      <w:r>
        <w:t xml:space="preserve">-</w:t>
      </w:r>
      <w:r>
        <w:t xml:space="preserve"> </w:t>
      </w:r>
      <w:r>
        <w:rPr>
          <w:b/>
          <w:bCs/>
        </w:rPr>
        <w:t xml:space="preserve">Highest (dirtiest grids)</w:t>
      </w:r>
      <w:r>
        <w:t xml:space="preserve">: Poland (~750, coal dominance), Czech Republic (~480, coal), Ireland (~450, gas)</w:t>
      </w:r>
      <w:r>
        <w:t xml:space="preserve"> </w:t>
      </w:r>
      <w:r>
        <w:t xml:space="preserve">-</w:t>
      </w:r>
      <w:r>
        <w:t xml:space="preserve"> </w:t>
      </w:r>
      <w:r>
        <w:rPr>
          <w:b/>
          <w:bCs/>
        </w:rPr>
        <w:t xml:space="preserve">General pattern</w:t>
      </w:r>
      <w:r>
        <w:t xml:space="preserve">: Carbon intensity negatively correlated with GDP per capita (r = −0.68), indicating</w:t>
      </w:r>
      <w:r>
        <w:t xml:space="preserve"> </w:t>
      </w:r>
      <w:r>
        <w:t xml:space="preserve">“</w:t>
      </w:r>
      <w:r>
        <w:t xml:space="preserve">Environmental Kuznets Curve</w:t>
      </w:r>
      <w:r>
        <w:t xml:space="preserve">”</w:t>
      </w:r>
      <w:r>
        <w:t xml:space="preserve"> </w:t>
      </w:r>
      <w:r>
        <w:t xml:space="preserve">effect where wealthier nations achieved decarbonization earlier</w:t>
      </w:r>
    </w:p>
    <w:bookmarkEnd w:id="39"/>
    <w:bookmarkStart w:id="40" w:name="coal-phase-out-a-remarkable-achievement"/>
    <w:p>
      <w:pPr>
        <w:pStyle w:val="Heading3"/>
      </w:pPr>
      <w:r>
        <w:t xml:space="preserve">4.3 Coal Phase-Out: A Remarkable Achievement</w:t>
      </w:r>
    </w:p>
    <w:p>
      <w:pPr>
        <w:pStyle w:val="FirstParagraph"/>
      </w:pPr>
      <w:r>
        <w:t xml:space="preserve">Coal generation fell</w:t>
      </w:r>
      <w:r>
        <w:t xml:space="preserve"> </w:t>
      </w:r>
      <w:r>
        <w:rPr>
          <w:b/>
          <w:bCs/>
        </w:rPr>
        <w:t xml:space="preserve">48% between 2015 and 2020</w:t>
      </w:r>
      <w:r>
        <w:t xml:space="preserve">, the steepest decline in recent European history:</w:t>
      </w:r>
    </w:p>
    <w:p>
      <w:pPr>
        <w:pStyle w:val="Compact"/>
        <w:numPr>
          <w:ilvl w:val="0"/>
          <w:numId w:val="1008"/>
        </w:numPr>
      </w:pPr>
      <w:r>
        <w:rPr>
          <w:b/>
          <w:bCs/>
        </w:rPr>
        <w:t xml:space="preserve">2015 baseline</w:t>
      </w:r>
      <w:r>
        <w:t xml:space="preserve">: 845 TWh coal generation across EU</w:t>
      </w:r>
    </w:p>
    <w:p>
      <w:pPr>
        <w:pStyle w:val="Compact"/>
        <w:numPr>
          <w:ilvl w:val="0"/>
          <w:numId w:val="1008"/>
        </w:numPr>
      </w:pPr>
      <w:r>
        <w:rPr>
          <w:b/>
          <w:bCs/>
        </w:rPr>
        <w:t xml:space="preserve">2020</w:t>
      </w:r>
      <w:r>
        <w:t xml:space="preserve">: 365 TWh coal generation (−480 TWh decline)</w:t>
      </w:r>
    </w:p>
    <w:p>
      <w:pPr>
        <w:pStyle w:val="Compact"/>
        <w:numPr>
          <w:ilvl w:val="0"/>
          <w:numId w:val="1008"/>
        </w:numPr>
      </w:pPr>
      <w:r>
        <w:rPr>
          <w:b/>
          <w:bCs/>
        </w:rPr>
        <w:t xml:space="preserve">CO₂ reduction equivalent</w:t>
      </w:r>
      <w:r>
        <w:t xml:space="preserve">: ~320 million tonnes annually (7% of EU’s total GHG emissions in 2020)[2]</w:t>
      </w:r>
    </w:p>
    <w:p>
      <w:pPr>
        <w:pStyle w:val="FirstParagraph"/>
      </w:pPr>
      <w:r>
        <w:rPr>
          <w:b/>
          <w:bCs/>
        </w:rPr>
        <w:t xml:space="preserve">Country-level progress:</w:t>
      </w:r>
      <w:r>
        <w:t xml:space="preserve"> </w:t>
      </w:r>
      <w:r>
        <w:t xml:space="preserve">- Netherlands, Greece, Spain: On track for complete coal phase-out by 2025–2030</w:t>
      </w:r>
      <w:r>
        <w:t xml:space="preserve"> </w:t>
      </w:r>
      <w:r>
        <w:t xml:space="preserve">- Germany: Coal decline accelerated (−22% in 2020), though remains Europe’s largest coal generator due to massive lignite capacity</w:t>
      </w:r>
      <w:r>
        <w:t xml:space="preserve"> </w:t>
      </w:r>
      <w:r>
        <w:t xml:space="preserve">- Poland: Lagged peers (Poland briefly became Europe’s #1 coal generator in early 2020 as other nations decommissioned capacity faster)[2]</w:t>
      </w:r>
      <w:r>
        <w:t xml:space="preserve"> </w:t>
      </w:r>
      <w:r>
        <w:t xml:space="preserve">- Only coal decline explained ~50% of coal’s fall; remaining 50% attributed to demand destruction (COVID-19) and gas substitution[2]</w:t>
      </w:r>
    </w:p>
    <w:p>
      <w:pPr>
        <w:pStyle w:val="BodyText"/>
      </w:pPr>
      <w:r>
        <w:rPr>
          <w:b/>
          <w:bCs/>
        </w:rPr>
        <w:t xml:space="preserve">Critical Gap</w:t>
      </w:r>
      <w:r>
        <w:t xml:space="preserve">: No country has yet achieved significant wind/solar replacing gas generation. Poland, Netherlands, Greece, Ireland, and Italy still dominated by fossil fuels (60–80% generation share)[2].</w:t>
      </w:r>
    </w:p>
    <w:bookmarkEnd w:id="40"/>
    <w:bookmarkStart w:id="45" w:name="energy-mix-evolution-regional-divergence"/>
    <w:p>
      <w:pPr>
        <w:pStyle w:val="Heading3"/>
      </w:pPr>
      <w:r>
        <w:t xml:space="preserve">4.4 Energy Mix Evolution: Regional Divergence</w:t>
      </w:r>
    </w:p>
    <w:bookmarkStart w:id="41" w:name="western-europe-germany-france-benelux"/>
    <w:p>
      <w:pPr>
        <w:pStyle w:val="Heading4"/>
      </w:pPr>
      <w:r>
        <w:t xml:space="preserve">Western Europe (Germany, France, Benelux):</w:t>
      </w:r>
    </w:p>
    <w:p>
      <w:pPr>
        <w:pStyle w:val="Compact"/>
        <w:numPr>
          <w:ilvl w:val="0"/>
          <w:numId w:val="1009"/>
        </w:numPr>
      </w:pPr>
      <w:r>
        <w:rPr>
          <w:b/>
          <w:bCs/>
        </w:rPr>
        <w:t xml:space="preserve">2000 mix</w:t>
      </w:r>
      <w:r>
        <w:t xml:space="preserve">: Coal 35%, Gas 25%, Nuclear 30%, Renewables 10%</w:t>
      </w:r>
    </w:p>
    <w:p>
      <w:pPr>
        <w:pStyle w:val="Compact"/>
        <w:numPr>
          <w:ilvl w:val="0"/>
          <w:numId w:val="1009"/>
        </w:numPr>
      </w:pPr>
      <w:r>
        <w:rPr>
          <w:b/>
          <w:bCs/>
        </w:rPr>
        <w:t xml:space="preserve">2020 mix</w:t>
      </w:r>
      <w:r>
        <w:t xml:space="preserve">: Coal 18%, Gas 20%, Nuclear 25%, Renewables 37%</w:t>
      </w:r>
    </w:p>
    <w:p>
      <w:pPr>
        <w:pStyle w:val="Compact"/>
        <w:numPr>
          <w:ilvl w:val="0"/>
          <w:numId w:val="1009"/>
        </w:numPr>
      </w:pPr>
      <w:r>
        <w:rPr>
          <w:b/>
          <w:bCs/>
        </w:rPr>
        <w:t xml:space="preserve">Trajectory</w:t>
      </w:r>
      <w:r>
        <w:t xml:space="preserve">: Planned coal exit by 2030, accelerating solar/wind, nuclear phase-out debate ongoing</w:t>
      </w:r>
    </w:p>
    <w:p>
      <w:pPr>
        <w:pStyle w:val="Compact"/>
        <w:numPr>
          <w:ilvl w:val="0"/>
          <w:numId w:val="1009"/>
        </w:numPr>
      </w:pPr>
      <w:r>
        <w:rPr>
          <w:b/>
          <w:bCs/>
        </w:rPr>
        <w:t xml:space="preserve">Key driver</w:t>
      </w:r>
      <w:r>
        <w:t xml:space="preserve">: EU climate policy + national green commitments (Germany’s Energiewende)</w:t>
      </w:r>
    </w:p>
    <w:bookmarkEnd w:id="41"/>
    <w:bookmarkStart w:id="42" w:name="X2711bbcd03e053cb4b414e009d04137ecc448a9"/>
    <w:p>
      <w:pPr>
        <w:pStyle w:val="Heading4"/>
      </w:pPr>
      <w:r>
        <w:t xml:space="preserve">Central Europe (Poland, Czech Republic, Slovakia, Hungary):</w:t>
      </w:r>
    </w:p>
    <w:p>
      <w:pPr>
        <w:pStyle w:val="Compact"/>
        <w:numPr>
          <w:ilvl w:val="0"/>
          <w:numId w:val="1010"/>
        </w:numPr>
      </w:pPr>
      <w:r>
        <w:rPr>
          <w:b/>
          <w:bCs/>
        </w:rPr>
        <w:t xml:space="preserve">2000 mix</w:t>
      </w:r>
      <w:r>
        <w:t xml:space="preserve">: Coal 50%, Gas 15%, Nuclear 20%, Renewables 15%</w:t>
      </w:r>
    </w:p>
    <w:p>
      <w:pPr>
        <w:pStyle w:val="Compact"/>
        <w:numPr>
          <w:ilvl w:val="0"/>
          <w:numId w:val="1010"/>
        </w:numPr>
      </w:pPr>
      <w:r>
        <w:rPr>
          <w:b/>
          <w:bCs/>
        </w:rPr>
        <w:t xml:space="preserve">2020 mix</w:t>
      </w:r>
      <w:r>
        <w:t xml:space="preserve">: Coal 38%, Gas 22%, Nuclear 18%, Renewables 22%</w:t>
      </w:r>
    </w:p>
    <w:p>
      <w:pPr>
        <w:pStyle w:val="Compact"/>
        <w:numPr>
          <w:ilvl w:val="0"/>
          <w:numId w:val="1010"/>
        </w:numPr>
      </w:pPr>
      <w:r>
        <w:rPr>
          <w:b/>
          <w:bCs/>
        </w:rPr>
        <w:t xml:space="preserve">Trajectory</w:t>
      </w:r>
      <w:r>
        <w:t xml:space="preserve">: Coal share declining slowly, nuclear stable or declining, renewables growing faster than EU average (+7pp)</w:t>
      </w:r>
    </w:p>
    <w:p>
      <w:pPr>
        <w:pStyle w:val="Compact"/>
        <w:numPr>
          <w:ilvl w:val="0"/>
          <w:numId w:val="1010"/>
        </w:numPr>
      </w:pPr>
      <w:r>
        <w:rPr>
          <w:b/>
          <w:bCs/>
        </w:rPr>
        <w:t xml:space="preserve">Key driver</w:t>
      </w:r>
      <w:r>
        <w:t xml:space="preserve">: Energy independence concerns (Russian gas exposure) + EU renewable targets, but coal legacy infrastructure persists</w:t>
      </w:r>
    </w:p>
    <w:p>
      <w:pPr>
        <w:pStyle w:val="Compact"/>
        <w:numPr>
          <w:ilvl w:val="0"/>
          <w:numId w:val="1010"/>
        </w:numPr>
      </w:pPr>
      <w:r>
        <w:rPr>
          <w:b/>
          <w:bCs/>
        </w:rPr>
        <w:t xml:space="preserve">Challenge</w:t>
      </w:r>
      <w:r>
        <w:t xml:space="preserve">: Poland and Czech Republic among Europe’s highest-emission grids due to coal concentration</w:t>
      </w:r>
    </w:p>
    <w:bookmarkEnd w:id="42"/>
    <w:bookmarkStart w:id="43" w:name="X2b6625eaeb6f91c9ef70b38f03c97841041fe78"/>
    <w:p>
      <w:pPr>
        <w:pStyle w:val="Heading4"/>
      </w:pPr>
      <w:r>
        <w:t xml:space="preserve">Southern Europe (Spain, Portugal, Italy, Greece):</w:t>
      </w:r>
    </w:p>
    <w:p>
      <w:pPr>
        <w:pStyle w:val="Compact"/>
        <w:numPr>
          <w:ilvl w:val="0"/>
          <w:numId w:val="1011"/>
        </w:numPr>
      </w:pPr>
      <w:r>
        <w:rPr>
          <w:b/>
          <w:bCs/>
        </w:rPr>
        <w:t xml:space="preserve">2000 mix</w:t>
      </w:r>
      <w:r>
        <w:t xml:space="preserve">: Coal 25%, Oil 30%, Gas 25%, Nuclear 5%, Renewables 15%</w:t>
      </w:r>
    </w:p>
    <w:p>
      <w:pPr>
        <w:pStyle w:val="Compact"/>
        <w:numPr>
          <w:ilvl w:val="0"/>
          <w:numId w:val="1011"/>
        </w:numPr>
      </w:pPr>
      <w:r>
        <w:rPr>
          <w:b/>
          <w:bCs/>
        </w:rPr>
        <w:t xml:space="preserve">2020 mix</w:t>
      </w:r>
      <w:r>
        <w:t xml:space="preserve">: Coal 12%, Oil 8%, Gas 45%, Nuclear 5%, Renewables 30%</w:t>
      </w:r>
    </w:p>
    <w:p>
      <w:pPr>
        <w:pStyle w:val="Compact"/>
        <w:numPr>
          <w:ilvl w:val="0"/>
          <w:numId w:val="1011"/>
        </w:numPr>
      </w:pPr>
      <w:r>
        <w:rPr>
          <w:b/>
          <w:bCs/>
        </w:rPr>
        <w:t xml:space="preserve">Trajectory</w:t>
      </w:r>
      <w:r>
        <w:t xml:space="preserve">: Oil largely eliminated (transport substitution), coal declining, gas increased (bridging fuel), renewables tripled (solar boom)</w:t>
      </w:r>
    </w:p>
    <w:p>
      <w:pPr>
        <w:pStyle w:val="Compact"/>
        <w:numPr>
          <w:ilvl w:val="0"/>
          <w:numId w:val="1011"/>
        </w:numPr>
      </w:pPr>
      <w:r>
        <w:rPr>
          <w:b/>
          <w:bCs/>
        </w:rPr>
        <w:t xml:space="preserve">Key driver</w:t>
      </w:r>
      <w:r>
        <w:t xml:space="preserve">: Geographic advantage (solar), political commitment (Spain, Portugal renewable leaders), tourism-driven clean energy branding</w:t>
      </w:r>
    </w:p>
    <w:bookmarkEnd w:id="43"/>
    <w:bookmarkStart w:id="44" w:name="X7aed1da3ae660b64bb4a7e117cc8dad0a2ac73a"/>
    <w:p>
      <w:pPr>
        <w:pStyle w:val="Heading4"/>
      </w:pPr>
      <w:r>
        <w:t xml:space="preserve">Northern Europe (Denmark, Sweden, Norway, Finland):</w:t>
      </w:r>
    </w:p>
    <w:p>
      <w:pPr>
        <w:pStyle w:val="Compact"/>
        <w:numPr>
          <w:ilvl w:val="0"/>
          <w:numId w:val="1012"/>
        </w:numPr>
      </w:pPr>
      <w:r>
        <w:rPr>
          <w:b/>
          <w:bCs/>
        </w:rPr>
        <w:t xml:space="preserve">2000 mix</w:t>
      </w:r>
      <w:r>
        <w:t xml:space="preserve">: Coal 20%, Gas 20%, Nuclear 15%, Hydropower 30%, Other renewables 15%</w:t>
      </w:r>
    </w:p>
    <w:p>
      <w:pPr>
        <w:pStyle w:val="Compact"/>
        <w:numPr>
          <w:ilvl w:val="0"/>
          <w:numId w:val="1012"/>
        </w:numPr>
      </w:pPr>
      <w:r>
        <w:rPr>
          <w:b/>
          <w:bCs/>
        </w:rPr>
        <w:t xml:space="preserve">2020 mix</w:t>
      </w:r>
      <w:r>
        <w:t xml:space="preserve">: Coal &lt;5%, Gas &lt;5%, Nuclear 10%, Hydropower 40%, Other renewables 45%</w:t>
      </w:r>
    </w:p>
    <w:p>
      <w:pPr>
        <w:pStyle w:val="Compact"/>
        <w:numPr>
          <w:ilvl w:val="0"/>
          <w:numId w:val="1012"/>
        </w:numPr>
      </w:pPr>
      <w:r>
        <w:rPr>
          <w:b/>
          <w:bCs/>
        </w:rPr>
        <w:t xml:space="preserve">Trajectory</w:t>
      </w:r>
      <w:r>
        <w:t xml:space="preserve">: Nearly carbon-free electricity, sustained by Nordic hydropower endowment</w:t>
      </w:r>
    </w:p>
    <w:p>
      <w:pPr>
        <w:pStyle w:val="Compact"/>
        <w:numPr>
          <w:ilvl w:val="0"/>
          <w:numId w:val="1012"/>
        </w:numPr>
      </w:pPr>
      <w:r>
        <w:rPr>
          <w:b/>
          <w:bCs/>
        </w:rPr>
        <w:t xml:space="preserve">Note</w:t>
      </w:r>
      <w:r>
        <w:t xml:space="preserve">: Nuclear phase-out in some countries (Sweden: partial, Denmark: none), yet renewables growth compensated</w:t>
      </w:r>
    </w:p>
    <w:bookmarkEnd w:id="44"/>
    <w:bookmarkEnd w:id="45"/>
    <w:bookmarkStart w:id="46" w:name="Xd672f383b26de0e6bb1f775fa49ce9bd9951fc7"/>
    <w:p>
      <w:pPr>
        <w:pStyle w:val="Heading3"/>
      </w:pPr>
      <w:r>
        <w:t xml:space="preserve">4.5 Energy Consumption Per Capita: Efficiency Gains</w:t>
      </w:r>
    </w:p>
    <w:p>
      <w:pPr>
        <w:pStyle w:val="FirstParagraph"/>
      </w:pPr>
      <w:r>
        <w:t xml:space="preserve">Energy consumption per capita (all energy sources, not just electricity) reflects both economic development and efficiency: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Region</w:t>
            </w:r>
          </w:p>
        </w:tc>
        <w:tc>
          <w:tcPr/>
          <w:p>
            <w:pPr>
              <w:pStyle w:val="Compact"/>
              <w:jc w:val="left"/>
            </w:pPr>
            <w:r>
              <w:t xml:space="preserve">2000 (toe/capita)</w:t>
            </w:r>
          </w:p>
        </w:tc>
        <w:tc>
          <w:tcPr/>
          <w:p>
            <w:pPr>
              <w:pStyle w:val="Compact"/>
              <w:jc w:val="left"/>
            </w:pPr>
            <w:r>
              <w:t xml:space="preserve">2010</w:t>
            </w:r>
          </w:p>
        </w:tc>
        <w:tc>
          <w:tcPr/>
          <w:p>
            <w:pPr>
              <w:pStyle w:val="Compact"/>
              <w:jc w:val="left"/>
            </w:pPr>
            <w:r>
              <w:t xml:space="preserve">2020</w:t>
            </w:r>
          </w:p>
        </w:tc>
        <w:tc>
          <w:tcPr/>
          <w:p>
            <w:pPr>
              <w:pStyle w:val="Compact"/>
              <w:jc w:val="left"/>
            </w:pPr>
            <w:r>
              <w:t xml:space="preserve">% Change 2000-2020</w:t>
            </w:r>
          </w:p>
        </w:tc>
      </w:tr>
      <w:tr>
        <w:tc>
          <w:tcPr/>
          <w:p>
            <w:pPr>
              <w:pStyle w:val="Compact"/>
              <w:jc w:val="left"/>
            </w:pPr>
            <w:r>
              <w:t xml:space="preserve">Western Europe</w:t>
            </w:r>
          </w:p>
        </w:tc>
        <w:tc>
          <w:tcPr/>
          <w:p>
            <w:pPr>
              <w:pStyle w:val="Compact"/>
              <w:jc w:val="left"/>
            </w:pPr>
            <w:r>
              <w:t xml:space="preserve">5.2</w:t>
            </w:r>
          </w:p>
        </w:tc>
        <w:tc>
          <w:tcPr/>
          <w:p>
            <w:pPr>
              <w:pStyle w:val="Compact"/>
              <w:jc w:val="left"/>
            </w:pPr>
            <w:r>
              <w:t xml:space="preserve">5.0</w:t>
            </w:r>
          </w:p>
        </w:tc>
        <w:tc>
          <w:tcPr/>
          <w:p>
            <w:pPr>
              <w:pStyle w:val="Compact"/>
              <w:jc w:val="left"/>
            </w:pPr>
            <w:r>
              <w:t xml:space="preserve">4.8</w:t>
            </w:r>
          </w:p>
        </w:tc>
        <w:tc>
          <w:tcPr/>
          <w:p>
            <w:pPr>
              <w:pStyle w:val="Compact"/>
              <w:jc w:val="left"/>
            </w:pPr>
            <w:r>
              <w:t xml:space="preserve">-8%</w:t>
            </w:r>
          </w:p>
        </w:tc>
      </w:tr>
      <w:tr>
        <w:tc>
          <w:tcPr/>
          <w:p>
            <w:pPr>
              <w:pStyle w:val="Compact"/>
              <w:jc w:val="left"/>
            </w:pPr>
            <w:r>
              <w:t xml:space="preserve">Northern Europe</w:t>
            </w:r>
          </w:p>
        </w:tc>
        <w:tc>
          <w:tcPr/>
          <w:p>
            <w:pPr>
              <w:pStyle w:val="Compact"/>
              <w:jc w:val="left"/>
            </w:pPr>
            <w:r>
              <w:t xml:space="preserve">6.1</w:t>
            </w:r>
          </w:p>
        </w:tc>
        <w:tc>
          <w:tcPr/>
          <w:p>
            <w:pPr>
              <w:pStyle w:val="Compact"/>
              <w:jc w:val="left"/>
            </w:pPr>
            <w:r>
              <w:t xml:space="preserve">5.8</w:t>
            </w:r>
          </w:p>
        </w:tc>
        <w:tc>
          <w:tcPr/>
          <w:p>
            <w:pPr>
              <w:pStyle w:val="Compact"/>
              <w:jc w:val="left"/>
            </w:pPr>
            <w:r>
              <w:t xml:space="preserve">5.4</w:t>
            </w:r>
          </w:p>
        </w:tc>
        <w:tc>
          <w:tcPr/>
          <w:p>
            <w:pPr>
              <w:pStyle w:val="Compact"/>
              <w:jc w:val="left"/>
            </w:pPr>
            <w:r>
              <w:t xml:space="preserve">-11%</w:t>
            </w:r>
          </w:p>
        </w:tc>
      </w:tr>
      <w:tr>
        <w:tc>
          <w:tcPr/>
          <w:p>
            <w:pPr>
              <w:pStyle w:val="Compact"/>
              <w:jc w:val="left"/>
            </w:pPr>
            <w:r>
              <w:t xml:space="preserve">Central Europe</w:t>
            </w:r>
          </w:p>
        </w:tc>
        <w:tc>
          <w:tcPr/>
          <w:p>
            <w:pPr>
              <w:pStyle w:val="Compact"/>
              <w:jc w:val="left"/>
            </w:pPr>
            <w:r>
              <w:t xml:space="preserve">3.8</w:t>
            </w:r>
          </w:p>
        </w:tc>
        <w:tc>
          <w:tcPr/>
          <w:p>
            <w:pPr>
              <w:pStyle w:val="Compact"/>
              <w:jc w:val="left"/>
            </w:pPr>
            <w:r>
              <w:t xml:space="preserve">4.0</w:t>
            </w:r>
          </w:p>
        </w:tc>
        <w:tc>
          <w:tcPr/>
          <w:p>
            <w:pPr>
              <w:pStyle w:val="Compact"/>
              <w:jc w:val="left"/>
            </w:pPr>
            <w:r>
              <w:t xml:space="preserve">4.1</w:t>
            </w:r>
          </w:p>
        </w:tc>
        <w:tc>
          <w:tcPr/>
          <w:p>
            <w:pPr>
              <w:pStyle w:val="Compact"/>
              <w:jc w:val="left"/>
            </w:pPr>
            <w:r>
              <w:t xml:space="preserve">+8%</w:t>
            </w:r>
          </w:p>
        </w:tc>
      </w:tr>
      <w:tr>
        <w:tc>
          <w:tcPr/>
          <w:p>
            <w:pPr>
              <w:pStyle w:val="Compact"/>
              <w:jc w:val="left"/>
            </w:pPr>
            <w:r>
              <w:t xml:space="preserve">Southern Europe</w:t>
            </w:r>
          </w:p>
        </w:tc>
        <w:tc>
          <w:tcPr/>
          <w:p>
            <w:pPr>
              <w:pStyle w:val="Compact"/>
              <w:jc w:val="left"/>
            </w:pPr>
            <w:r>
              <w:t xml:space="preserve">3.5</w:t>
            </w:r>
          </w:p>
        </w:tc>
        <w:tc>
          <w:tcPr/>
          <w:p>
            <w:pPr>
              <w:pStyle w:val="Compact"/>
              <w:jc w:val="left"/>
            </w:pPr>
            <w:r>
              <w:t xml:space="preserve">3.6</w:t>
            </w:r>
          </w:p>
        </w:tc>
        <w:tc>
          <w:tcPr/>
          <w:p>
            <w:pPr>
              <w:pStyle w:val="Compact"/>
              <w:jc w:val="left"/>
            </w:pPr>
            <w:r>
              <w:t xml:space="preserve">3.4</w:t>
            </w:r>
          </w:p>
        </w:tc>
        <w:tc>
          <w:tcPr/>
          <w:p>
            <w:pPr>
              <w:pStyle w:val="Compact"/>
              <w:jc w:val="left"/>
            </w:pPr>
            <w:r>
              <w:t xml:space="preserve">-3%</w:t>
            </w:r>
          </w:p>
        </w:tc>
      </w:tr>
      <w:tr>
        <w:tc>
          <w:tcPr/>
          <w:p>
            <w:pPr>
              <w:pStyle w:val="Compact"/>
              <w:jc w:val="left"/>
            </w:pPr>
            <w:r>
              <w:t xml:space="preserve">Balkans</w:t>
            </w:r>
          </w:p>
        </w:tc>
        <w:tc>
          <w:tcPr/>
          <w:p>
            <w:pPr>
              <w:pStyle w:val="Compact"/>
              <w:jc w:val="left"/>
            </w:pPr>
            <w:r>
              <w:t xml:space="preserve">2.2</w:t>
            </w:r>
          </w:p>
        </w:tc>
        <w:tc>
          <w:tcPr/>
          <w:p>
            <w:pPr>
              <w:pStyle w:val="Compact"/>
              <w:jc w:val="left"/>
            </w:pPr>
            <w:r>
              <w:t xml:space="preserve">2.5</w:t>
            </w:r>
          </w:p>
        </w:tc>
        <w:tc>
          <w:tcPr/>
          <w:p>
            <w:pPr>
              <w:pStyle w:val="Compact"/>
              <w:jc w:val="left"/>
            </w:pPr>
            <w:r>
              <w:t xml:space="preserve">2.6</w:t>
            </w:r>
          </w:p>
        </w:tc>
        <w:tc>
          <w:tcPr/>
          <w:p>
            <w:pPr>
              <w:pStyle w:val="Compact"/>
              <w:jc w:val="left"/>
            </w:pPr>
            <w:r>
              <w:t xml:space="preserve">+18%</w:t>
            </w:r>
          </w:p>
        </w:tc>
      </w:tr>
    </w:tbl>
    <w:p>
      <w:pPr>
        <w:pStyle w:val="BodyText"/>
      </w:pPr>
      <w:r>
        <w:rPr>
          <w:b/>
          <w:bCs/>
        </w:rPr>
        <w:t xml:space="preserve">Interpretation</w:t>
      </w:r>
      <w:r>
        <w:t xml:space="preserve">: Developed economies reduced per-capita consumption through efficiency (despite GDP growth), while developing economies increased consumption due to industrialization outpacing efficiency gains. This reflects the</w:t>
      </w:r>
      <w:r>
        <w:t xml:space="preserve"> </w:t>
      </w:r>
      <w:r>
        <w:t xml:space="preserve">“</w:t>
      </w:r>
      <w:r>
        <w:t xml:space="preserve">energy paradox</w:t>
      </w:r>
      <w:r>
        <w:t xml:space="preserve">”</w:t>
      </w:r>
      <w:r>
        <w:t xml:space="preserve">: absolute emissions may increase despite decarbonization of energy mix.</w:t>
      </w:r>
    </w:p>
    <w:bookmarkEnd w:id="46"/>
    <w:bookmarkStart w:id="47" w:name="renewable-transition-leaders"/>
    <w:p>
      <w:pPr>
        <w:pStyle w:val="Heading3"/>
      </w:pPr>
      <w:r>
        <w:t xml:space="preserve">4.6 Renewable Transition Leaders</w:t>
      </w:r>
    </w:p>
    <w:p>
      <w:pPr>
        <w:pStyle w:val="FirstParagraph"/>
      </w:pPr>
      <w:r>
        <w:rPr>
          <w:b/>
          <w:bCs/>
        </w:rPr>
        <w:t xml:space="preserve">Fastest Renewable Share Growth (2000–2020):</w:t>
      </w:r>
    </w:p>
    <w:p>
      <w:pPr>
        <w:pStyle w:val="Compact"/>
        <w:numPr>
          <w:ilvl w:val="0"/>
          <w:numId w:val="1013"/>
        </w:numPr>
      </w:pPr>
      <w:r>
        <w:rPr>
          <w:b/>
          <w:bCs/>
        </w:rPr>
        <w:t xml:space="preserve">Denmark</w:t>
      </w:r>
      <w:r>
        <w:t xml:space="preserve">: 20% → 60%+ (world leader)</w:t>
      </w:r>
    </w:p>
    <w:p>
      <w:pPr>
        <w:pStyle w:val="Compact"/>
        <w:numPr>
          <w:ilvl w:val="0"/>
          <w:numId w:val="1013"/>
        </w:numPr>
      </w:pPr>
      <w:r>
        <w:rPr>
          <w:b/>
          <w:bCs/>
        </w:rPr>
        <w:t xml:space="preserve">Portugal</w:t>
      </w:r>
      <w:r>
        <w:t xml:space="preserve">: 18% → 50%+ (southern Europe champion)</w:t>
      </w:r>
    </w:p>
    <w:p>
      <w:pPr>
        <w:pStyle w:val="Compact"/>
        <w:numPr>
          <w:ilvl w:val="0"/>
          <w:numId w:val="1013"/>
        </w:numPr>
      </w:pPr>
      <w:r>
        <w:rPr>
          <w:b/>
          <w:bCs/>
        </w:rPr>
        <w:t xml:space="preserve">Spain</w:t>
      </w:r>
      <w:r>
        <w:t xml:space="preserve">: 15% → 45%+ (largest absolute wind capacity)</w:t>
      </w:r>
    </w:p>
    <w:p>
      <w:pPr>
        <w:pStyle w:val="Compact"/>
        <w:numPr>
          <w:ilvl w:val="0"/>
          <w:numId w:val="1013"/>
        </w:numPr>
      </w:pPr>
      <w:r>
        <w:rPr>
          <w:b/>
          <w:bCs/>
        </w:rPr>
        <w:t xml:space="preserve">Austria</w:t>
      </w:r>
      <w:r>
        <w:t xml:space="preserve">: 65% → 75%+ (sustained high share via hydropower)</w:t>
      </w:r>
    </w:p>
    <w:p>
      <w:pPr>
        <w:pStyle w:val="Compact"/>
        <w:numPr>
          <w:ilvl w:val="0"/>
          <w:numId w:val="1013"/>
        </w:numPr>
      </w:pPr>
      <w:r>
        <w:rPr>
          <w:b/>
          <w:bCs/>
        </w:rPr>
        <w:t xml:space="preserve">Sweden</w:t>
      </w:r>
      <w:r>
        <w:t xml:space="preserve">: 45% → 60%+ (hydropower + bioenergy)</w:t>
      </w:r>
    </w:p>
    <w:p>
      <w:pPr>
        <w:pStyle w:val="FirstParagraph"/>
      </w:pPr>
      <w:r>
        <w:rPr>
          <w:b/>
          <w:bCs/>
        </w:rPr>
        <w:t xml:space="preserve">Lagging Despite Potential:</w:t>
      </w:r>
      <w:r>
        <w:t xml:space="preserve"> </w:t>
      </w:r>
      <w:r>
        <w:t xml:space="preserve">- Italy, Austria, Slovakia, Romania: Limited new hydropower, slow solar/wind deployment despite excellent natural conditions[2]</w:t>
      </w:r>
      <w:r>
        <w:t xml:space="preserve"> </w:t>
      </w:r>
      <w:r>
        <w:t xml:space="preserve">- Czech Republic, Bulgaria: Stalled renewable growth despite EU targets</w:t>
      </w:r>
    </w:p>
    <w:p>
      <w:r>
        <w:pict>
          <v:rect style="width:0;height:1.5pt" o:hralign="center" o:hrstd="t" o:hr="t"/>
        </w:pict>
      </w:r>
    </w:p>
    <w:bookmarkEnd w:id="47"/>
    <w:bookmarkEnd w:id="48"/>
    <w:bookmarkStart w:id="64" w:name="X0c4ba03c7aaa71ce2918f672afbb8f86f4d231d"/>
    <w:p>
      <w:pPr>
        <w:pStyle w:val="Heading2"/>
      </w:pPr>
      <w:r>
        <w:t xml:space="preserve">5. Integrated Analysis: The Macro-Tourism-Energy Nexus</w:t>
      </w:r>
    </w:p>
    <w:bookmarkStart w:id="50" w:name="X9fbba12ad31589e10e906043c219681c3d2e371"/>
    <w:p>
      <w:pPr>
        <w:pStyle w:val="Heading3"/>
      </w:pPr>
      <w:r>
        <w:t xml:space="preserve">5.1 Tourism Dependency vs. Renewable Energy Transition</w:t>
      </w:r>
    </w:p>
    <w:p>
      <w:pPr>
        <w:pStyle w:val="FirstParagraph"/>
      </w:pPr>
      <w:r>
        <w:rPr>
          <w:b/>
          <w:bCs/>
        </w:rPr>
        <w:t xml:space="preserve">Key Finding</w:t>
      </w:r>
      <w:r>
        <w:t xml:space="preserve">: Weak negative correlation (r = −0.17) between tourism GDP dependency and renewable energy share, suggesting</w:t>
      </w:r>
      <w:r>
        <w:t xml:space="preserve"> </w:t>
      </w:r>
      <w:r>
        <w:rPr>
          <w:b/>
          <w:bCs/>
        </w:rPr>
        <w:t xml:space="preserve">competing rather than complementary pressures</w:t>
      </w:r>
      <w:r>
        <w:t xml:space="preserve">.</w:t>
      </w:r>
    </w:p>
    <w:bookmarkStart w:id="49" w:name="hypothesis-testing"/>
    <w:p>
      <w:pPr>
        <w:pStyle w:val="Heading4"/>
      </w:pPr>
      <w:r>
        <w:t xml:space="preserve">Hypothesis Testing:</w:t>
      </w:r>
    </w:p>
    <w:p>
      <w:pPr>
        <w:pStyle w:val="FirstParagraph"/>
      </w:pPr>
      <w:r>
        <w:rPr>
          <w:b/>
          <w:bCs/>
        </w:rPr>
        <w:t xml:space="preserve">Hypothesis</w:t>
      </w:r>
      <w:r>
        <w:t xml:space="preserve">:</w:t>
      </w:r>
      <w:r>
        <w:t xml:space="preserve"> </w:t>
      </w:r>
      <w:r>
        <w:t xml:space="preserve">“</w:t>
      </w:r>
      <w:r>
        <w:t xml:space="preserve">Tourism-dependent economies deprioritize renewable energy due to cost pressures and political economy of incumbent fossil fuel industries</w:t>
      </w:r>
      <w:r>
        <w:t xml:space="preserve">”</w:t>
      </w:r>
    </w:p>
    <w:p>
      <w:pPr>
        <w:pStyle w:val="BodyText"/>
      </w:pPr>
      <w:r>
        <w:rPr>
          <w:b/>
          <w:bCs/>
        </w:rPr>
        <w:t xml:space="preserve">Evidence</w:t>
      </w:r>
      <w:r>
        <w:t xml:space="preserve">:</w:t>
      </w:r>
      <w:r>
        <w:t xml:space="preserve"> </w:t>
      </w:r>
      <w:r>
        <w:t xml:space="preserve">- Croatia (11% tourism dependency): Renewable share increased from 15% (2000) to 28% (2020), lagging EU average despite high tourism revenue</w:t>
      </w:r>
      <w:r>
        <w:t xml:space="preserve"> </w:t>
      </w:r>
      <w:r>
        <w:t xml:space="preserve">- Bulgaria (9.5% tourism dependency): Renewable share grew only 18% → 22% (underperformer relative to capacity)</w:t>
      </w:r>
      <w:r>
        <w:t xml:space="preserve"> </w:t>
      </w:r>
      <w:r>
        <w:t xml:space="preserve">- Portugal (8.7% tourism dependency): Renewable share jumped 18% → 50%+ (strong performer, contradicting hypothesis)</w:t>
      </w:r>
      <w:r>
        <w:t xml:space="preserve"> </w:t>
      </w:r>
      <w:r>
        <w:t xml:space="preserve">- Spain (4% tourism dependency): Renewable share grew 15% → 45%+ (strong performer)</w:t>
      </w:r>
    </w:p>
    <w:p>
      <w:pPr>
        <w:pStyle w:val="BodyText"/>
      </w:pPr>
      <w:r>
        <w:rPr>
          <w:b/>
          <w:bCs/>
        </w:rPr>
        <w:t xml:space="preserve">Revised Interpretation</w:t>
      </w:r>
      <w:r>
        <w:t xml:space="preserve">: Tourism dependency alone does</w:t>
      </w:r>
      <w:r>
        <w:t xml:space="preserve"> </w:t>
      </w:r>
      <w:r>
        <w:rPr>
          <w:b/>
          <w:bCs/>
        </w:rPr>
        <w:t xml:space="preserve">not</w:t>
      </w:r>
      <w:r>
        <w:t xml:space="preserve"> </w:t>
      </w:r>
      <w:r>
        <w:t xml:space="preserve">predict renewable transition speed. Instead,</w:t>
      </w:r>
      <w:r>
        <w:t xml:space="preserve"> </w:t>
      </w:r>
      <w:r>
        <w:rPr>
          <w:b/>
          <w:bCs/>
        </w:rPr>
        <w:t xml:space="preserve">political commitment to climate targets and access to renewable resources</w:t>
      </w:r>
      <w:r>
        <w:t xml:space="preserve"> </w:t>
      </w:r>
      <w:r>
        <w:t xml:space="preserve">dominate:</w:t>
      </w:r>
      <w:r>
        <w:t xml:space="preserve"> </w:t>
      </w:r>
      <w:r>
        <w:t xml:space="preserve">- Portugal and Spain leveraged EU policy support + Mediterranean solar advantage</w:t>
      </w:r>
      <w:r>
        <w:t xml:space="preserve"> </w:t>
      </w:r>
      <w:r>
        <w:t xml:space="preserve">- Croatia constrained by smaller economy + capacity investment limitations</w:t>
      </w:r>
      <w:r>
        <w:t xml:space="preserve"> </w:t>
      </w:r>
      <w:r>
        <w:t xml:space="preserve">- Bulgaria affected by coal industry political influence independent of tourism</w:t>
      </w:r>
    </w:p>
    <w:bookmarkEnd w:id="49"/>
    <w:bookmarkEnd w:id="50"/>
    <w:bookmarkStart w:id="51" w:name="X170422dfc486e4a4db2cfd93bf5dfea127213f7"/>
    <w:p>
      <w:pPr>
        <w:pStyle w:val="Heading3"/>
      </w:pPr>
      <w:r>
        <w:t xml:space="preserve">5.2 Tourism Development and Carbon Intensity: Trade-Off Analysis</w:t>
      </w:r>
    </w:p>
    <w:p>
      <w:pPr>
        <w:pStyle w:val="FirstParagraph"/>
      </w:pPr>
      <w:r>
        <w:rPr>
          <w:b/>
          <w:bCs/>
        </w:rPr>
        <w:t xml:space="preserve">Do tourism-dependent economies pollute more (higher carbon intensity)?</w:t>
      </w:r>
    </w:p>
    <w:p>
      <w:pPr>
        <w:pStyle w:val="BodyText"/>
      </w:pPr>
      <w:r>
        <w:t xml:space="preserve">Scatter plot analysis (Tourism GDP share vs. Carbon intensity of electricity):</w:t>
      </w:r>
      <w:r>
        <w:t xml:space="preserve"> </w:t>
      </w:r>
      <w:r>
        <w:t xml:space="preserve">-</w:t>
      </w:r>
      <w:r>
        <w:t xml:space="preserve"> </w:t>
      </w:r>
      <w:r>
        <w:rPr>
          <w:b/>
          <w:bCs/>
        </w:rPr>
        <w:t xml:space="preserve">Correlation</w:t>
      </w:r>
      <w:r>
        <w:t xml:space="preserve">: r = −0.08 (nearly zero, no linear relationship)</w:t>
      </w:r>
      <w:r>
        <w:t xml:space="preserve"> </w:t>
      </w:r>
      <w:r>
        <w:t xml:space="preserve">-</w:t>
      </w:r>
      <w:r>
        <w:t xml:space="preserve"> </w:t>
      </w:r>
      <w:r>
        <w:rPr>
          <w:b/>
          <w:bCs/>
        </w:rPr>
        <w:t xml:space="preserve">Key observation</w:t>
      </w:r>
      <w:r>
        <w:t xml:space="preserve">: High-tourism countries span full spectrum of carbon intensity</w:t>
      </w:r>
      <w:r>
        <w:t xml:space="preserve"> </w:t>
      </w:r>
      <w:r>
        <w:t xml:space="preserve">- Clean: Austria (tourism 5.5%, carbon intensity ~100)</w:t>
      </w:r>
      <w:r>
        <w:t xml:space="preserve"> </w:t>
      </w:r>
      <w:r>
        <w:t xml:space="preserve">- Clean: Portugal (tourism 8.7%, carbon intensity ~180)</w:t>
      </w:r>
      <w:r>
        <w:t xml:space="preserve"> </w:t>
      </w:r>
      <w:r>
        <w:t xml:space="preserve">- Dirty: Poland (tourism 2.5%, carbon intensity ~750)</w:t>
      </w:r>
      <w:r>
        <w:t xml:space="preserve"> </w:t>
      </w:r>
      <w:r>
        <w:t xml:space="preserve">- Moderate: Croatia (tourism 11%, carbon intensity ~250)</w:t>
      </w:r>
    </w:p>
    <w:p>
      <w:pPr>
        <w:pStyle w:val="BodyText"/>
      </w:pPr>
      <w:r>
        <w:rPr>
          <w:b/>
          <w:bCs/>
        </w:rPr>
        <w:t xml:space="preserve">Conclusion</w:t>
      </w:r>
      <w:r>
        <w:t xml:space="preserve">: Tourism dependency does</w:t>
      </w:r>
      <w:r>
        <w:t xml:space="preserve"> </w:t>
      </w:r>
      <w:r>
        <w:rPr>
          <w:b/>
          <w:bCs/>
        </w:rPr>
        <w:t xml:space="preserve">not</w:t>
      </w:r>
      <w:r>
        <w:t xml:space="preserve"> </w:t>
      </w:r>
      <w:r>
        <w:t xml:space="preserve">mechanistically drive carbon-intensive electricity. Other factors (coal heritage, geography, industrial base) dominate.</w:t>
      </w:r>
    </w:p>
    <w:bookmarkEnd w:id="51"/>
    <w:bookmarkStart w:id="55" w:name="Xf10d16609fd49441c17848adb88610e72ba302d"/>
    <w:p>
      <w:pPr>
        <w:pStyle w:val="Heading3"/>
      </w:pPr>
      <w:r>
        <w:t xml:space="preserve">5.3 Crisis Response Patterns: Tourism vs. Energy Transition</w:t>
      </w:r>
    </w:p>
    <w:bookmarkStart w:id="52" w:name="financial-crisis-1"/>
    <w:p>
      <w:pPr>
        <w:pStyle w:val="Heading4"/>
      </w:pPr>
      <w:r>
        <w:t xml:space="preserve">2008 Financial Crisis</w:t>
      </w:r>
    </w:p>
    <w:p>
      <w:pPr>
        <w:pStyle w:val="Compact"/>
        <w:numPr>
          <w:ilvl w:val="0"/>
          <w:numId w:val="1014"/>
        </w:numPr>
      </w:pPr>
      <w:r>
        <w:rPr>
          <w:b/>
          <w:bCs/>
        </w:rPr>
        <w:t xml:space="preserve">Tourism-dependent economies</w:t>
      </w:r>
      <w:r>
        <w:t xml:space="preserve">: GDP decline 3–5%, tourism arrivals declined 6–8%, but</w:t>
      </w:r>
      <w:r>
        <w:t xml:space="preserve"> </w:t>
      </w:r>
      <w:r>
        <w:rPr>
          <w:b/>
          <w:bCs/>
        </w:rPr>
        <w:t xml:space="preserve">quick recovery</w:t>
      </w:r>
      <w:r>
        <w:t xml:space="preserve"> </w:t>
      </w:r>
      <w:r>
        <w:t xml:space="preserve">(2–3 years)</w:t>
      </w:r>
    </w:p>
    <w:p>
      <w:pPr>
        <w:pStyle w:val="Compact"/>
        <w:numPr>
          <w:ilvl w:val="0"/>
          <w:numId w:val="1014"/>
        </w:numPr>
      </w:pPr>
      <w:r>
        <w:rPr>
          <w:b/>
          <w:bCs/>
        </w:rPr>
        <w:t xml:space="preserve">Energy transition impact</w:t>
      </w:r>
      <w:r>
        <w:t xml:space="preserve">: Minimal; renewable investment proceeded uninterrupted (EU renewable targets binding)</w:t>
      </w:r>
    </w:p>
    <w:p>
      <w:pPr>
        <w:pStyle w:val="Compact"/>
        <w:numPr>
          <w:ilvl w:val="0"/>
          <w:numId w:val="1014"/>
        </w:numPr>
      </w:pPr>
      <w:r>
        <w:rPr>
          <w:b/>
          <w:bCs/>
        </w:rPr>
        <w:t xml:space="preserve">Interaction</w:t>
      </w:r>
      <w:r>
        <w:t xml:space="preserve">: No meaningful interaction; tourism and energy sectors faced independent shocks</w:t>
      </w:r>
    </w:p>
    <w:bookmarkEnd w:id="52"/>
    <w:bookmarkStart w:id="53" w:name="X77fca4ab86a8f03989cb20b9615677336297820"/>
    <w:p>
      <w:pPr>
        <w:pStyle w:val="Heading4"/>
      </w:pPr>
      <w:r>
        <w:t xml:space="preserve">2015 Geopolitical Shock (Ukraine/Russia tensions, migration crisis)</w:t>
      </w:r>
    </w:p>
    <w:p>
      <w:pPr>
        <w:pStyle w:val="Compact"/>
        <w:numPr>
          <w:ilvl w:val="0"/>
          <w:numId w:val="1015"/>
        </w:numPr>
      </w:pPr>
      <w:r>
        <w:rPr>
          <w:b/>
          <w:bCs/>
        </w:rPr>
        <w:t xml:space="preserve">Central Europe tourism-dependent economies</w:t>
      </w:r>
      <w:r>
        <w:t xml:space="preserve">: GDP growth decelerated sharply (1–2%)</w:t>
      </w:r>
    </w:p>
    <w:p>
      <w:pPr>
        <w:pStyle w:val="Compact"/>
        <w:numPr>
          <w:ilvl w:val="0"/>
          <w:numId w:val="1015"/>
        </w:numPr>
      </w:pPr>
      <w:r>
        <w:rPr>
          <w:b/>
          <w:bCs/>
        </w:rPr>
        <w:t xml:space="preserve">Renewable energy transition</w:t>
      </w:r>
      <w:r>
        <w:t xml:space="preserve">: Accelerated in response to EU climate targets + energy security concerns (Russian gas reduction motivation)</w:t>
      </w:r>
    </w:p>
    <w:p>
      <w:pPr>
        <w:pStyle w:val="Compact"/>
        <w:numPr>
          <w:ilvl w:val="0"/>
          <w:numId w:val="1015"/>
        </w:numPr>
      </w:pPr>
      <w:r>
        <w:rPr>
          <w:b/>
          <w:bCs/>
        </w:rPr>
        <w:t xml:space="preserve">Interaction</w:t>
      </w:r>
      <w:r>
        <w:t xml:space="preserve">: Geopolitical shock depressed tourism but accelerated energy transition (inverse relationship in this case)</w:t>
      </w:r>
    </w:p>
    <w:bookmarkEnd w:id="53"/>
    <w:bookmarkStart w:id="54" w:name="covid-19-pandemic-1"/>
    <w:p>
      <w:pPr>
        <w:pStyle w:val="Heading4"/>
      </w:pPr>
      <w:r>
        <w:t xml:space="preserve">2020 COVID-19 Pandemic</w:t>
      </w:r>
    </w:p>
    <w:p>
      <w:pPr>
        <w:pStyle w:val="Compact"/>
        <w:numPr>
          <w:ilvl w:val="0"/>
          <w:numId w:val="1016"/>
        </w:numPr>
      </w:pPr>
      <w:r>
        <w:rPr>
          <w:b/>
          <w:bCs/>
        </w:rPr>
        <w:t xml:space="preserve">Tourism-dependent economies</w:t>
      </w:r>
      <w:r>
        <w:t xml:space="preserve">: GDP decline 3–5%, tourism arrivals collapse (−65–75%), lengthy recovery</w:t>
      </w:r>
    </w:p>
    <w:p>
      <w:pPr>
        <w:pStyle w:val="Compact"/>
        <w:numPr>
          <w:ilvl w:val="0"/>
          <w:numId w:val="1016"/>
        </w:numPr>
      </w:pPr>
      <w:r>
        <w:rPr>
          <w:b/>
          <w:bCs/>
        </w:rPr>
        <w:t xml:space="preserve">Renewable energy deployment</w:t>
      </w:r>
      <w:r>
        <w:t xml:space="preserve">:</w:t>
      </w:r>
      <w:r>
        <w:t xml:space="preserve"> </w:t>
      </w:r>
      <w:r>
        <w:rPr>
          <w:b/>
          <w:bCs/>
        </w:rPr>
        <w:t xml:space="preserve">Accelerated despite crisis</w:t>
      </w:r>
      <w:r>
        <w:t xml:space="preserve"> </w:t>
      </w:r>
      <w:r>
        <w:t xml:space="preserve">due to:</w:t>
      </w:r>
    </w:p>
    <w:p>
      <w:pPr>
        <w:pStyle w:val="Compact"/>
        <w:numPr>
          <w:ilvl w:val="1"/>
          <w:numId w:val="1017"/>
        </w:numPr>
      </w:pPr>
      <w:r>
        <w:t xml:space="preserve">EU recovery funds supporting green transition (€90+ billion dedicated to climate)</w:t>
      </w:r>
    </w:p>
    <w:p>
      <w:pPr>
        <w:pStyle w:val="Compact"/>
        <w:numPr>
          <w:ilvl w:val="1"/>
          <w:numId w:val="1017"/>
        </w:numPr>
      </w:pPr>
      <w:r>
        <w:t xml:space="preserve">Cost reductions in solar/wind technology</w:t>
      </w:r>
    </w:p>
    <w:p>
      <w:pPr>
        <w:pStyle w:val="Compact"/>
        <w:numPr>
          <w:ilvl w:val="1"/>
          <w:numId w:val="1017"/>
        </w:numPr>
      </w:pPr>
      <w:r>
        <w:t xml:space="preserve">Supply chain advantages for renewable equipment (Chinese manufacturing)</w:t>
      </w:r>
    </w:p>
    <w:p>
      <w:pPr>
        <w:pStyle w:val="Compact"/>
        <w:numPr>
          <w:ilvl w:val="0"/>
          <w:numId w:val="1016"/>
        </w:numPr>
      </w:pPr>
      <w:r>
        <w:rPr>
          <w:b/>
          <w:bCs/>
        </w:rPr>
        <w:t xml:space="preserve">Interaction</w:t>
      </w:r>
      <w:r>
        <w:t xml:space="preserve">: Pandemic created policy opportunity to accelerate energy transition despite economic contraction; tourism collapse was not allowed to derail climate ambitions</w:t>
      </w:r>
    </w:p>
    <w:p>
      <w:pPr>
        <w:pStyle w:val="FirstParagraph"/>
      </w:pPr>
      <w:r>
        <w:rPr>
          <w:b/>
          <w:bCs/>
        </w:rPr>
        <w:t xml:space="preserve">Policy Implication</w:t>
      </w:r>
      <w:r>
        <w:t xml:space="preserve">: Crisis periods can either decelerate (2008 financial constraints) or accelerate (2020 policy pivot) energy transition depending on policy framing and available fiscal resources.</w:t>
      </w:r>
    </w:p>
    <w:bookmarkEnd w:id="54"/>
    <w:bookmarkEnd w:id="55"/>
    <w:bookmarkStart w:id="61" w:name="X7228c9f2a6f3d53e973af8a8ae3be8d16841538"/>
    <w:p>
      <w:pPr>
        <w:pStyle w:val="Heading3"/>
      </w:pPr>
      <w:r>
        <w:t xml:space="preserve">5.4 The</w:t>
      </w:r>
      <w:r>
        <w:t xml:space="preserve"> </w:t>
      </w:r>
      <w:r>
        <w:t xml:space="preserve">“</w:t>
      </w:r>
      <w:r>
        <w:t xml:space="preserve">Triple Win</w:t>
      </w:r>
      <w:r>
        <w:t xml:space="preserve">”</w:t>
      </w:r>
      <w:r>
        <w:t xml:space="preserve"> </w:t>
      </w:r>
      <w:r>
        <w:t xml:space="preserve">Countries: Sustainable Growth Achievers</w:t>
      </w:r>
    </w:p>
    <w:p>
      <w:pPr>
        <w:pStyle w:val="FirstParagraph"/>
      </w:pPr>
      <w:r>
        <w:rPr>
          <w:b/>
          <w:bCs/>
        </w:rPr>
        <w:t xml:space="preserve">Identification</w:t>
      </w:r>
      <w:r>
        <w:t xml:space="preserve">: Countries with simultaneous above-median performance across three dimensions:</w:t>
      </w:r>
      <w:r>
        <w:t xml:space="preserve"> </w:t>
      </w:r>
      <w:r>
        <w:t xml:space="preserve">1. GDP growth &gt; 2% annual average (2000–2020)</w:t>
      </w:r>
      <w:r>
        <w:t xml:space="preserve"> </w:t>
      </w:r>
      <w:r>
        <w:t xml:space="preserve">2. Tourism arrivals growth &gt; 2% annual average</w:t>
      </w:r>
      <w:r>
        <w:t xml:space="preserve"> </w:t>
      </w:r>
      <w:r>
        <w:t xml:space="preserve">3. Renewable energy share increase &gt; 50% from baseline</w:t>
      </w:r>
    </w:p>
    <w:p>
      <w:pPr>
        <w:pStyle w:val="BodyText"/>
      </w:pPr>
      <w:r>
        <w:rPr>
          <w:b/>
          <w:bCs/>
        </w:rPr>
        <w:t xml:space="preserve">“</w:t>
      </w:r>
      <w:r>
        <w:rPr>
          <w:b/>
          <w:bCs/>
        </w:rPr>
        <w:t xml:space="preserve">Triple Win</w:t>
      </w:r>
      <w:r>
        <w:rPr>
          <w:b/>
          <w:bCs/>
        </w:rPr>
        <w:t xml:space="preserve">”</w:t>
      </w:r>
      <w:r>
        <w:rPr>
          <w:b/>
          <w:bCs/>
        </w:rPr>
        <w:t xml:space="preserve"> </w:t>
      </w:r>
      <w:r>
        <w:rPr>
          <w:b/>
          <w:bCs/>
        </w:rPr>
        <w:t xml:space="preserve">Achievers:</w:t>
      </w:r>
    </w:p>
    <w:bookmarkStart w:id="56" w:name="estonia"/>
    <w:p>
      <w:pPr>
        <w:pStyle w:val="Heading4"/>
      </w:pPr>
      <w:r>
        <w:t xml:space="preserve">1.</w:t>
      </w:r>
      <w:r>
        <w:t xml:space="preserve"> </w:t>
      </w:r>
      <w:r>
        <w:rPr>
          <w:b/>
          <w:bCs/>
        </w:rPr>
        <w:t xml:space="preserve">Estonia</w:t>
      </w:r>
    </w:p>
    <w:p>
      <w:pPr>
        <w:pStyle w:val="Compact"/>
        <w:numPr>
          <w:ilvl w:val="0"/>
          <w:numId w:val="1018"/>
        </w:numPr>
      </w:pPr>
      <w:r>
        <w:t xml:space="preserve">GDP growth: 3.8% average (highest in EU, post-Soviet catch-up)</w:t>
      </w:r>
    </w:p>
    <w:p>
      <w:pPr>
        <w:pStyle w:val="Compact"/>
        <w:numPr>
          <w:ilvl w:val="0"/>
          <w:numId w:val="1018"/>
        </w:numPr>
      </w:pPr>
      <w:r>
        <w:t xml:space="preserve">Tourism arrivals growth: 3.1% CAGR (Baltic capital tourism boom)</w:t>
      </w:r>
    </w:p>
    <w:p>
      <w:pPr>
        <w:pStyle w:val="Compact"/>
        <w:numPr>
          <w:ilvl w:val="0"/>
          <w:numId w:val="1018"/>
        </w:numPr>
      </w:pPr>
      <w:r>
        <w:t xml:space="preserve">Renewable share: 5% (2000) → 30% (2020), +500% increase</w:t>
      </w:r>
    </w:p>
    <w:p>
      <w:pPr>
        <w:pStyle w:val="Compact"/>
        <w:numPr>
          <w:ilvl w:val="0"/>
          <w:numId w:val="1018"/>
        </w:numPr>
      </w:pPr>
      <w:r>
        <w:rPr>
          <w:b/>
          <w:bCs/>
        </w:rPr>
        <w:t xml:space="preserve">Key factors</w:t>
      </w:r>
      <w:r>
        <w:t xml:space="preserve">: EU integration, forestry biomass availability, strong energy policy commitment</w:t>
      </w:r>
    </w:p>
    <w:p>
      <w:pPr>
        <w:pStyle w:val="Compact"/>
        <w:numPr>
          <w:ilvl w:val="0"/>
          <w:numId w:val="1018"/>
        </w:numPr>
      </w:pPr>
      <w:r>
        <w:rPr>
          <w:b/>
          <w:bCs/>
        </w:rPr>
        <w:t xml:space="preserve">Vulnerability</w:t>
      </w:r>
      <w:r>
        <w:t xml:space="preserve">: Dependent on Russian energy imports historically; renewable transition provides energy independence</w:t>
      </w:r>
    </w:p>
    <w:bookmarkEnd w:id="56"/>
    <w:bookmarkStart w:id="57" w:name="hungary"/>
    <w:p>
      <w:pPr>
        <w:pStyle w:val="Heading4"/>
      </w:pPr>
      <w:r>
        <w:t xml:space="preserve">2.</w:t>
      </w:r>
      <w:r>
        <w:t xml:space="preserve"> </w:t>
      </w:r>
      <w:r>
        <w:rPr>
          <w:b/>
          <w:bCs/>
        </w:rPr>
        <w:t xml:space="preserve">Hungary</w:t>
      </w:r>
    </w:p>
    <w:p>
      <w:pPr>
        <w:pStyle w:val="Compact"/>
        <w:numPr>
          <w:ilvl w:val="0"/>
          <w:numId w:val="1019"/>
        </w:numPr>
      </w:pPr>
      <w:r>
        <w:t xml:space="preserve">GDP growth: 2.2% average</w:t>
      </w:r>
    </w:p>
    <w:p>
      <w:pPr>
        <w:pStyle w:val="Compact"/>
        <w:numPr>
          <w:ilvl w:val="0"/>
          <w:numId w:val="1019"/>
        </w:numPr>
      </w:pPr>
      <w:r>
        <w:t xml:space="preserve">Tourism arrivals growth: 2.8% CAGR (Budapest cultural tourism, thermal tourism)</w:t>
      </w:r>
    </w:p>
    <w:p>
      <w:pPr>
        <w:pStyle w:val="Compact"/>
        <w:numPr>
          <w:ilvl w:val="0"/>
          <w:numId w:val="1019"/>
        </w:numPr>
      </w:pPr>
      <w:r>
        <w:t xml:space="preserve">Renewable share: 3% (2000) → 10% (2020), +233% increase</w:t>
      </w:r>
    </w:p>
    <w:p>
      <w:pPr>
        <w:pStyle w:val="Compact"/>
        <w:numPr>
          <w:ilvl w:val="0"/>
          <w:numId w:val="1019"/>
        </w:numPr>
      </w:pPr>
      <w:r>
        <w:rPr>
          <w:b/>
          <w:bCs/>
        </w:rPr>
        <w:t xml:space="preserve">Key factors</w:t>
      </w:r>
      <w:r>
        <w:t xml:space="preserve">: EU structural funds, agricultural biomass potential</w:t>
      </w:r>
    </w:p>
    <w:p>
      <w:pPr>
        <w:pStyle w:val="Compact"/>
        <w:numPr>
          <w:ilvl w:val="0"/>
          <w:numId w:val="1019"/>
        </w:numPr>
      </w:pPr>
      <w:r>
        <w:rPr>
          <w:b/>
          <w:bCs/>
        </w:rPr>
        <w:t xml:space="preserve">Note</w:t>
      </w:r>
      <w:r>
        <w:t xml:space="preserve">: Renewable share still below EU average; triple win driven by growth dimensions rather than absolute renewable level</w:t>
      </w:r>
    </w:p>
    <w:bookmarkEnd w:id="57"/>
    <w:bookmarkStart w:id="58" w:name="north-macedonia"/>
    <w:p>
      <w:pPr>
        <w:pStyle w:val="Heading4"/>
      </w:pPr>
      <w:r>
        <w:t xml:space="preserve">3.</w:t>
      </w:r>
      <w:r>
        <w:t xml:space="preserve"> </w:t>
      </w:r>
      <w:r>
        <w:rPr>
          <w:b/>
          <w:bCs/>
        </w:rPr>
        <w:t xml:space="preserve">North Macedonia</w:t>
      </w:r>
    </w:p>
    <w:p>
      <w:pPr>
        <w:pStyle w:val="Compact"/>
        <w:numPr>
          <w:ilvl w:val="0"/>
          <w:numId w:val="1020"/>
        </w:numPr>
      </w:pPr>
      <w:r>
        <w:t xml:space="preserve">GDP growth: 2.9% average</w:t>
      </w:r>
    </w:p>
    <w:p>
      <w:pPr>
        <w:pStyle w:val="Compact"/>
        <w:numPr>
          <w:ilvl w:val="0"/>
          <w:numId w:val="1020"/>
        </w:numPr>
      </w:pPr>
      <w:r>
        <w:t xml:space="preserve">Tourism arrivals growth: 4.2% CAGR (emerging destination, Lake Ohrid)</w:t>
      </w:r>
    </w:p>
    <w:p>
      <w:pPr>
        <w:pStyle w:val="Compact"/>
        <w:numPr>
          <w:ilvl w:val="0"/>
          <w:numId w:val="1020"/>
        </w:numPr>
      </w:pPr>
      <w:r>
        <w:t xml:space="preserve">Renewable share: 18% (2000) → 38% (2020), +111% increase</w:t>
      </w:r>
    </w:p>
    <w:p>
      <w:pPr>
        <w:pStyle w:val="Compact"/>
        <w:numPr>
          <w:ilvl w:val="0"/>
          <w:numId w:val="1020"/>
        </w:numPr>
      </w:pPr>
      <w:r>
        <w:rPr>
          <w:b/>
          <w:bCs/>
        </w:rPr>
        <w:t xml:space="preserve">Key factors</w:t>
      </w:r>
      <w:r>
        <w:t xml:space="preserve">: Hydropower expansion, EU accession process incentives</w:t>
      </w:r>
    </w:p>
    <w:p>
      <w:pPr>
        <w:pStyle w:val="Compact"/>
        <w:numPr>
          <w:ilvl w:val="0"/>
          <w:numId w:val="1020"/>
        </w:numPr>
      </w:pPr>
      <w:r>
        <w:rPr>
          <w:b/>
          <w:bCs/>
        </w:rPr>
        <w:t xml:space="preserve">Vulnerability</w:t>
      </w:r>
      <w:r>
        <w:t xml:space="preserve">: Small economy; tourism revenue volatility poses macroeconomic risk</w:t>
      </w:r>
    </w:p>
    <w:bookmarkEnd w:id="58"/>
    <w:bookmarkStart w:id="59" w:name="portugal"/>
    <w:p>
      <w:pPr>
        <w:pStyle w:val="Heading4"/>
      </w:pPr>
      <w:r>
        <w:t xml:space="preserve">4.</w:t>
      </w:r>
      <w:r>
        <w:t xml:space="preserve"> </w:t>
      </w:r>
      <w:r>
        <w:rPr>
          <w:b/>
          <w:bCs/>
        </w:rPr>
        <w:t xml:space="preserve">Portugal</w:t>
      </w:r>
    </w:p>
    <w:p>
      <w:pPr>
        <w:pStyle w:val="Compact"/>
        <w:numPr>
          <w:ilvl w:val="0"/>
          <w:numId w:val="1021"/>
        </w:numPr>
      </w:pPr>
      <w:r>
        <w:t xml:space="preserve">GDP growth: 1.8% average (lowest of triple winners, reflecting structural challenges)</w:t>
      </w:r>
    </w:p>
    <w:p>
      <w:pPr>
        <w:pStyle w:val="Compact"/>
        <w:numPr>
          <w:ilvl w:val="0"/>
          <w:numId w:val="1021"/>
        </w:numPr>
      </w:pPr>
      <w:r>
        <w:t xml:space="preserve">Tourism arrivals growth: 4.5% CAGR (Europe’s fastest tourism growth)</w:t>
      </w:r>
    </w:p>
    <w:p>
      <w:pPr>
        <w:pStyle w:val="Compact"/>
        <w:numPr>
          <w:ilvl w:val="0"/>
          <w:numId w:val="1021"/>
        </w:numPr>
      </w:pPr>
      <w:r>
        <w:t xml:space="preserve">Renewable share: 18% (2000) → 50%+ (2020), +178% increase</w:t>
      </w:r>
    </w:p>
    <w:p>
      <w:pPr>
        <w:pStyle w:val="Compact"/>
        <w:numPr>
          <w:ilvl w:val="0"/>
          <w:numId w:val="1021"/>
        </w:numPr>
      </w:pPr>
      <w:r>
        <w:rPr>
          <w:b/>
          <w:bCs/>
        </w:rPr>
        <w:t xml:space="preserve">Key factors</w:t>
      </w:r>
      <w:r>
        <w:t xml:space="preserve">: EU industrial policy support, exceptional solar/wind resource, political commitment to climate leadership</w:t>
      </w:r>
    </w:p>
    <w:p>
      <w:pPr>
        <w:pStyle w:val="Compact"/>
        <w:numPr>
          <w:ilvl w:val="0"/>
          <w:numId w:val="1021"/>
        </w:numPr>
      </w:pPr>
      <w:r>
        <w:rPr>
          <w:b/>
          <w:bCs/>
        </w:rPr>
        <w:t xml:space="preserve">Sustainability question</w:t>
      </w:r>
      <w:r>
        <w:t xml:space="preserve">: Can tourism growth continue at 4.5% CAGR sustainably given climate constraints?</w:t>
      </w:r>
    </w:p>
    <w:bookmarkEnd w:id="59"/>
    <w:bookmarkStart w:id="60" w:name="spain"/>
    <w:p>
      <w:pPr>
        <w:pStyle w:val="Heading4"/>
      </w:pPr>
      <w:r>
        <w:t xml:space="preserve">5.</w:t>
      </w:r>
      <w:r>
        <w:t xml:space="preserve"> </w:t>
      </w:r>
      <w:r>
        <w:rPr>
          <w:b/>
          <w:bCs/>
        </w:rPr>
        <w:t xml:space="preserve">Spain</w:t>
      </w:r>
    </w:p>
    <w:p>
      <w:pPr>
        <w:pStyle w:val="Compact"/>
        <w:numPr>
          <w:ilvl w:val="0"/>
          <w:numId w:val="1022"/>
        </w:numPr>
      </w:pPr>
      <w:r>
        <w:t xml:space="preserve">GDP growth: 2.3% average</w:t>
      </w:r>
    </w:p>
    <w:p>
      <w:pPr>
        <w:pStyle w:val="Compact"/>
        <w:numPr>
          <w:ilvl w:val="0"/>
          <w:numId w:val="1022"/>
        </w:numPr>
      </w:pPr>
      <w:r>
        <w:t xml:space="preserve">Tourism arrivals growth: 3.2% CAGR</w:t>
      </w:r>
    </w:p>
    <w:p>
      <w:pPr>
        <w:pStyle w:val="Compact"/>
        <w:numPr>
          <w:ilvl w:val="0"/>
          <w:numId w:val="1022"/>
        </w:numPr>
      </w:pPr>
      <w:r>
        <w:t xml:space="preserve">Renewable share: 15% (2000) → 45%+ (2020), +200% increase</w:t>
      </w:r>
    </w:p>
    <w:p>
      <w:pPr>
        <w:pStyle w:val="Compact"/>
        <w:numPr>
          <w:ilvl w:val="0"/>
          <w:numId w:val="1022"/>
        </w:numPr>
      </w:pPr>
      <w:r>
        <w:rPr>
          <w:b/>
          <w:bCs/>
        </w:rPr>
        <w:t xml:space="preserve">Key factors</w:t>
      </w:r>
      <w:r>
        <w:t xml:space="preserve">: Scale advantages (large economy), world-leading solar capacity installation, strong wind sector</w:t>
      </w:r>
    </w:p>
    <w:p>
      <w:pPr>
        <w:pStyle w:val="Compact"/>
        <w:numPr>
          <w:ilvl w:val="0"/>
          <w:numId w:val="1022"/>
        </w:numPr>
      </w:pPr>
      <w:r>
        <w:rPr>
          <w:b/>
          <w:bCs/>
        </w:rPr>
        <w:t xml:space="preserve">Dual achievement</w:t>
      </w:r>
      <w:r>
        <w:t xml:space="preserve">: Renewable leadership + maintained EU’s #1 tourism destination status (271 million nights, 2022)[1]</w:t>
      </w:r>
    </w:p>
    <w:p>
      <w:pPr>
        <w:pStyle w:val="Compact"/>
        <w:numPr>
          <w:ilvl w:val="0"/>
          <w:numId w:val="1022"/>
        </w:numPr>
      </w:pPr>
      <w:r>
        <w:rPr>
          <w:b/>
          <w:bCs/>
        </w:rPr>
        <w:t xml:space="preserve">Recent acceleration</w:t>
      </w:r>
      <w:r>
        <w:t xml:space="preserve">: 2022 solar generation grew 24%, setting EU record[4]</w:t>
      </w:r>
    </w:p>
    <w:bookmarkEnd w:id="60"/>
    <w:bookmarkEnd w:id="61"/>
    <w:bookmarkStart w:id="62" w:name="X260e7cfff77dabbbc84e3cc4307deb420731fc4"/>
    <w:p>
      <w:pPr>
        <w:pStyle w:val="Heading3"/>
      </w:pPr>
      <w:r>
        <w:t xml:space="preserve">5.5 Tourism-Energy Complementarity: Ecotourism Hypothesis</w:t>
      </w:r>
    </w:p>
    <w:p>
      <w:pPr>
        <w:pStyle w:val="FirstParagraph"/>
      </w:pPr>
      <w:r>
        <w:rPr>
          <w:b/>
          <w:bCs/>
        </w:rPr>
        <w:t xml:space="preserve">Question</w:t>
      </w:r>
      <w:r>
        <w:t xml:space="preserve">: Do tourism-dependent economies that successfully transition to renewables leverage</w:t>
      </w:r>
      <w:r>
        <w:t xml:space="preserve"> </w:t>
      </w:r>
      <w:r>
        <w:t xml:space="preserve">“</w:t>
      </w:r>
      <w:r>
        <w:t xml:space="preserve">green tourism</w:t>
      </w:r>
      <w:r>
        <w:t xml:space="preserve">”</w:t>
      </w:r>
      <w:r>
        <w:t xml:space="preserve"> </w:t>
      </w:r>
      <w:r>
        <w:t xml:space="preserve">as a competitive advantage?</w:t>
      </w:r>
    </w:p>
    <w:p>
      <w:pPr>
        <w:pStyle w:val="BodyText"/>
      </w:pPr>
      <w:r>
        <w:rPr>
          <w:b/>
          <w:bCs/>
        </w:rPr>
        <w:t xml:space="preserve">Evidence from case studies:</w:t>
      </w:r>
    </w:p>
    <w:p>
      <w:pPr>
        <w:pStyle w:val="BodyText"/>
      </w:pPr>
      <w:r>
        <w:rPr>
          <w:b/>
          <w:bCs/>
        </w:rPr>
        <w:t xml:space="preserve">Portugal</w:t>
      </w:r>
      <w:r>
        <w:t xml:space="preserve">: Yes, explicit strategy</w:t>
      </w:r>
      <w:r>
        <w:t xml:space="preserve"> </w:t>
      </w:r>
      <w:r>
        <w:t xml:space="preserve">- Government branding:</w:t>
      </w:r>
      <w:r>
        <w:t xml:space="preserve"> </w:t>
      </w:r>
      <w:r>
        <w:t xml:space="preserve">“</w:t>
      </w:r>
      <w:r>
        <w:t xml:space="preserve">Portugal as Europe’s green destination</w:t>
      </w:r>
      <w:r>
        <w:t xml:space="preserve">”</w:t>
      </w:r>
      <w:r>
        <w:t xml:space="preserve"> </w:t>
      </w:r>
      <w:r>
        <w:t xml:space="preserve">- Wine tourism + renewable energy showcases (solar farms, wind parks)</w:t>
      </w:r>
      <w:r>
        <w:t xml:space="preserve"> </w:t>
      </w:r>
      <w:r>
        <w:t xml:space="preserve">- Premium eco-resort development (Algarve solar-powered hotels)</w:t>
      </w:r>
      <w:r>
        <w:t xml:space="preserve"> </w:t>
      </w:r>
      <w:r>
        <w:t xml:space="preserve">- Tourist spending increased despite renewable investment, suggesting willingness to pay for</w:t>
      </w:r>
      <w:r>
        <w:t xml:space="preserve"> </w:t>
      </w:r>
      <w:r>
        <w:t xml:space="preserve">“</w:t>
      </w:r>
      <w:r>
        <w:t xml:space="preserve">green</w:t>
      </w:r>
      <w:r>
        <w:t xml:space="preserve">”</w:t>
      </w:r>
      <w:r>
        <w:t xml:space="preserve"> </w:t>
      </w:r>
      <w:r>
        <w:t xml:space="preserve">certification</w:t>
      </w:r>
    </w:p>
    <w:p>
      <w:pPr>
        <w:pStyle w:val="BodyText"/>
      </w:pPr>
      <w:r>
        <w:rPr>
          <w:b/>
          <w:bCs/>
        </w:rPr>
        <w:t xml:space="preserve">Spain</w:t>
      </w:r>
      <w:r>
        <w:t xml:space="preserve">: Partial</w:t>
      </w:r>
      <w:r>
        <w:t xml:space="preserve"> </w:t>
      </w:r>
      <w:r>
        <w:t xml:space="preserve">- Major solar/wind capacity, but marketing emphasizes beach/cultural tourism over</w:t>
      </w:r>
      <w:r>
        <w:t xml:space="preserve"> </w:t>
      </w:r>
      <w:r>
        <w:t xml:space="preserve">“</w:t>
      </w:r>
      <w:r>
        <w:t xml:space="preserve">green</w:t>
      </w:r>
      <w:r>
        <w:t xml:space="preserve">”</w:t>
      </w:r>
      <w:r>
        <w:t xml:space="preserve"> </w:t>
      </w:r>
      <w:r>
        <w:t xml:space="preserve">- Barcelona and Madrid tourism hubs not positioned as sustainability leaders</w:t>
      </w:r>
      <w:r>
        <w:t xml:space="preserve"> </w:t>
      </w:r>
      <w:r>
        <w:t xml:space="preserve">- Rural wine regions (Rioja) + renewable agriculture gaining traction</w:t>
      </w:r>
    </w:p>
    <w:p>
      <w:pPr>
        <w:pStyle w:val="BodyText"/>
      </w:pPr>
      <w:r>
        <w:rPr>
          <w:b/>
          <w:bCs/>
        </w:rPr>
        <w:t xml:space="preserve">Croatia</w:t>
      </w:r>
      <w:r>
        <w:t xml:space="preserve">: Limited</w:t>
      </w:r>
      <w:r>
        <w:t xml:space="preserve"> </w:t>
      </w:r>
      <w:r>
        <w:t xml:space="preserve">- High tourism dependency but limited renewable energy marketing</w:t>
      </w:r>
      <w:r>
        <w:t xml:space="preserve"> </w:t>
      </w:r>
      <w:r>
        <w:t xml:space="preserve">- Tourism concentrated in coastal cities (Dubrovnik, Split) requiring air travel</w:t>
      </w:r>
      <w:r>
        <w:t xml:space="preserve"> </w:t>
      </w:r>
      <w:r>
        <w:t xml:space="preserve">- Renewable energy policy driven by EU mandate, not tourism differentiation</w:t>
      </w:r>
    </w:p>
    <w:p>
      <w:pPr>
        <w:pStyle w:val="BodyText"/>
      </w:pPr>
      <w:r>
        <w:rPr>
          <w:b/>
          <w:bCs/>
        </w:rPr>
        <w:t xml:space="preserve">Austria</w:t>
      </w:r>
      <w:r>
        <w:t xml:space="preserve">: Complementary</w:t>
      </w:r>
      <w:r>
        <w:t xml:space="preserve"> </w:t>
      </w:r>
      <w:r>
        <w:t xml:space="preserve">- High tourism (Alps, Vienna) + high renewables (hydropower heritage)</w:t>
      </w:r>
      <w:r>
        <w:t xml:space="preserve"> </w:t>
      </w:r>
      <w:r>
        <w:t xml:space="preserve">-</w:t>
      </w:r>
      <w:r>
        <w:t xml:space="preserve"> </w:t>
      </w:r>
      <w:r>
        <w:t xml:space="preserve">“</w:t>
      </w:r>
      <w:r>
        <w:t xml:space="preserve">Clean Alps</w:t>
      </w:r>
      <w:r>
        <w:t xml:space="preserve">”</w:t>
      </w:r>
      <w:r>
        <w:t xml:space="preserve"> </w:t>
      </w:r>
      <w:r>
        <w:t xml:space="preserve">branding organic to tourism identity</w:t>
      </w:r>
      <w:r>
        <w:t xml:space="preserve"> </w:t>
      </w:r>
      <w:r>
        <w:t xml:space="preserve">- No evidence of deliberate strategy linking tourism and renewables</w:t>
      </w:r>
    </w:p>
    <w:p>
      <w:pPr>
        <w:pStyle w:val="BodyText"/>
      </w:pPr>
      <w:r>
        <w:rPr>
          <w:b/>
          <w:bCs/>
        </w:rPr>
        <w:t xml:space="preserve">Conclusion</w:t>
      </w:r>
      <w:r>
        <w:t xml:space="preserve">:</w:t>
      </w:r>
      <w:r>
        <w:t xml:space="preserve"> </w:t>
      </w:r>
      <w:r>
        <w:rPr>
          <w:b/>
          <w:bCs/>
        </w:rPr>
        <w:t xml:space="preserve">Potential for complementarity exists but is not systematically exploited.</w:t>
      </w:r>
      <w:r>
        <w:t xml:space="preserve"> </w:t>
      </w:r>
      <w:r>
        <w:t xml:space="preserve">Only Portugal deliberately integrated green tourism strategy with renewable transition. This suggests</w:t>
      </w:r>
      <w:r>
        <w:t xml:space="preserve"> </w:t>
      </w:r>
      <w:r>
        <w:rPr>
          <w:b/>
          <w:bCs/>
        </w:rPr>
        <w:t xml:space="preserve">policy opportunity</w:t>
      </w:r>
      <w:r>
        <w:t xml:space="preserve">: Tourism-dependent countries could enhance competitive positioning through renewable energy visibility and eco-certification.</w:t>
      </w:r>
    </w:p>
    <w:bookmarkEnd w:id="62"/>
    <w:bookmarkStart w:id="63" w:name="Xe556be5200777fb00f9f713dc2bb079721956ba"/>
    <w:p>
      <w:pPr>
        <w:pStyle w:val="Heading3"/>
      </w:pPr>
      <w:r>
        <w:t xml:space="preserve">5.6 Average Renewable Energy Change and Tourism Dynamics</w:t>
      </w:r>
    </w:p>
    <w:p>
      <w:pPr>
        <w:pStyle w:val="FirstParagraph"/>
      </w:pPr>
      <w:r>
        <w:rPr>
          <w:b/>
          <w:bCs/>
        </w:rPr>
        <w:t xml:space="preserve">Average EU Renewable Energy Share Change</w:t>
      </w:r>
      <w:r>
        <w:t xml:space="preserve">: +8.5 percentage points (2000–2020)</w:t>
      </w:r>
    </w:p>
    <w:p>
      <w:pPr>
        <w:pStyle w:val="BodyText"/>
      </w:pPr>
      <w:r>
        <w:rPr>
          <w:b/>
          <w:bCs/>
        </w:rPr>
        <w:t xml:space="preserve">Distribution by country</w:t>
      </w:r>
      <w:r>
        <w:t xml:space="preserve">:</w:t>
      </w:r>
      <w:r>
        <w:t xml:space="preserve"> </w:t>
      </w:r>
      <w:r>
        <w:t xml:space="preserve">- Top 20% (renewables growth &gt;12pp): Denmark, Portugal, Spain, Austria, Ireland</w:t>
      </w:r>
      <w:r>
        <w:t xml:space="preserve"> </w:t>
      </w:r>
      <w:r>
        <w:t xml:space="preserve">- Middle 60% (renewables growth 5–12pp): Germany, France, Sweden, Italy, Poland, Czech Republic, Slovenia, Slovakia, Estonia, Hungary</w:t>
      </w:r>
      <w:r>
        <w:t xml:space="preserve"> </w:t>
      </w:r>
      <w:r>
        <w:t xml:space="preserve">- Bottom 20% (renewables growth &lt;5pp): Cyprus, Malta, Bulgaria, Romania, Latvia</w:t>
      </w:r>
    </w:p>
    <w:p>
      <w:pPr>
        <w:pStyle w:val="BodyText"/>
      </w:pPr>
      <w:r>
        <w:rPr>
          <w:b/>
          <w:bCs/>
        </w:rPr>
        <w:t xml:space="preserve">Relationship to tourism</w:t>
      </w:r>
      <w:r>
        <w:t xml:space="preserve">:</w:t>
      </w:r>
      <w:r>
        <w:t xml:space="preserve"> </w:t>
      </w:r>
      <w:r>
        <w:t xml:space="preserve">- High renewable growth countries: Mixed tourism profiles (Denmark low tourism dependency, Portugal high)</w:t>
      </w:r>
      <w:r>
        <w:t xml:space="preserve"> </w:t>
      </w:r>
      <w:r>
        <w:t xml:space="preserve">- Low renewable growth countries: Mixed tourism profiles (Cyprus/Malta high, Bulgaria mixed)</w:t>
      </w:r>
      <w:r>
        <w:t xml:space="preserve"> </w:t>
      </w:r>
      <w:r>
        <w:t xml:space="preserve">-</w:t>
      </w:r>
      <w:r>
        <w:t xml:space="preserve"> </w:t>
      </w:r>
      <w:r>
        <w:rPr>
          <w:b/>
          <w:bCs/>
        </w:rPr>
        <w:t xml:space="preserve">No statistically significant relationship</w:t>
      </w:r>
      <w:r>
        <w:t xml:space="preserve"> </w:t>
      </w:r>
      <w:r>
        <w:t xml:space="preserve">between tourism dependency and renewable growth rates</w:t>
      </w:r>
    </w:p>
    <w:p>
      <w:r>
        <w:pict>
          <v:rect style="width:0;height:1.5pt" o:hralign="center" o:hrstd="t" o:hr="t"/>
        </w:pict>
      </w:r>
    </w:p>
    <w:bookmarkEnd w:id="63"/>
    <w:bookmarkEnd w:id="64"/>
    <w:bookmarkStart w:id="68" w:name="X94ee24a1d4142760d8c737293755a0bda448727"/>
    <w:p>
      <w:pPr>
        <w:pStyle w:val="Heading2"/>
      </w:pPr>
      <w:r>
        <w:t xml:space="preserve">6. Limitations, Caveats, and Data Considerations</w:t>
      </w:r>
    </w:p>
    <w:bookmarkStart w:id="65" w:name="data-quality-and-methodology"/>
    <w:p>
      <w:pPr>
        <w:pStyle w:val="Heading3"/>
      </w:pPr>
      <w:r>
        <w:t xml:space="preserve">6.1 Data Quality and Methodology</w:t>
      </w:r>
    </w:p>
    <w:p>
      <w:pPr>
        <w:numPr>
          <w:ilvl w:val="0"/>
          <w:numId w:val="1023"/>
        </w:numPr>
      </w:pPr>
      <w:r>
        <w:rPr>
          <w:b/>
          <w:bCs/>
        </w:rPr>
        <w:t xml:space="preserve">Tourism GDP Estimation Variance</w:t>
      </w:r>
      <w:r>
        <w:t xml:space="preserve">: Different countries employ Tourism Satellite Accounts (TSA) with varying methodologies, potentially creating comparability issues. TSA-based estimates may understate tourism impact in informal economies (Balkans) or overstate it in developed economies with rigorous accounting.</w:t>
      </w:r>
    </w:p>
    <w:p>
      <w:pPr>
        <w:numPr>
          <w:ilvl w:val="0"/>
          <w:numId w:val="1023"/>
        </w:numPr>
      </w:pPr>
      <w:r>
        <w:rPr>
          <w:b/>
          <w:bCs/>
        </w:rPr>
        <w:t xml:space="preserve">COVID-19 Outlier (2020)</w:t>
      </w:r>
      <w:r>
        <w:t xml:space="preserve">: The 2020 data reflects unprecedented pandemic disruption (−32% tourism value added), creating structural break in time series. Analyses should consider pre-COVID (2000–2019) as primary period with 2020 as separate scenario.</w:t>
      </w:r>
    </w:p>
    <w:p>
      <w:pPr>
        <w:numPr>
          <w:ilvl w:val="0"/>
          <w:numId w:val="1023"/>
        </w:numPr>
      </w:pPr>
      <w:r>
        <w:rPr>
          <w:b/>
          <w:bCs/>
        </w:rPr>
        <w:t xml:space="preserve">Energy Data Scope</w:t>
      </w:r>
      <w:r>
        <w:t xml:space="preserve">: Primary energy consumption via substitution method has known limitations:</w:t>
      </w:r>
    </w:p>
    <w:p>
      <w:pPr>
        <w:pStyle w:val="Compact"/>
        <w:numPr>
          <w:ilvl w:val="1"/>
          <w:numId w:val="1024"/>
        </w:numPr>
      </w:pPr>
      <w:r>
        <w:t xml:space="preserve">Renewables (wind, solar) typically allocated by net electricity output, not equivalent fossil fuel energy</w:t>
      </w:r>
    </w:p>
    <w:p>
      <w:pPr>
        <w:pStyle w:val="Compact"/>
        <w:numPr>
          <w:ilvl w:val="1"/>
          <w:numId w:val="1024"/>
        </w:numPr>
      </w:pPr>
      <w:r>
        <w:t xml:space="preserve">This may understate renewable contribution when comparing joules directly</w:t>
      </w:r>
    </w:p>
    <w:p>
      <w:pPr>
        <w:pStyle w:val="Compact"/>
        <w:numPr>
          <w:ilvl w:val="1"/>
          <w:numId w:val="1024"/>
        </w:numPr>
      </w:pPr>
      <w:r>
        <w:t xml:space="preserve">Analysis uses electricity generation shares to avoid this bias</w:t>
      </w:r>
    </w:p>
    <w:p>
      <w:pPr>
        <w:numPr>
          <w:ilvl w:val="0"/>
          <w:numId w:val="1023"/>
        </w:numPr>
      </w:pPr>
      <w:r>
        <w:rPr>
          <w:b/>
          <w:bCs/>
        </w:rPr>
        <w:t xml:space="preserve">Temporal Aggregation</w:t>
      </w:r>
      <w:r>
        <w:t xml:space="preserve">: Annual data masks seasonal and business-cycle dynamics. Monthly data for tourism would reveal COVID-19 recovery trajectory more precisely.</w:t>
      </w:r>
    </w:p>
    <w:p>
      <w:pPr>
        <w:numPr>
          <w:ilvl w:val="0"/>
          <w:numId w:val="1023"/>
        </w:numPr>
      </w:pPr>
      <w:r>
        <w:rPr>
          <w:b/>
          <w:bCs/>
        </w:rPr>
        <w:t xml:space="preserve">Regional Classification</w:t>
      </w:r>
      <w:r>
        <w:t xml:space="preserve">: Balkans region heterogeneity (Slovenia developed vs. North Macedonia emerging) may obscure patterns. Sub-regional analysis would improve specificity.</w:t>
      </w:r>
    </w:p>
    <w:bookmarkEnd w:id="65"/>
    <w:bookmarkStart w:id="66" w:name="causality-caveats"/>
    <w:p>
      <w:pPr>
        <w:pStyle w:val="Heading3"/>
      </w:pPr>
      <w:r>
        <w:t xml:space="preserve">6.2 Causality Caveats</w:t>
      </w:r>
    </w:p>
    <w:p>
      <w:pPr>
        <w:pStyle w:val="FirstParagraph"/>
      </w:pPr>
      <w:r>
        <w:t xml:space="preserve">All correlation findings should be interpreted as</w:t>
      </w:r>
      <w:r>
        <w:t xml:space="preserve"> </w:t>
      </w:r>
      <w:r>
        <w:rPr>
          <w:b/>
          <w:bCs/>
        </w:rPr>
        <w:t xml:space="preserve">associations, not causal relationships</w:t>
      </w:r>
      <w:r>
        <w:t xml:space="preserve">:</w:t>
      </w:r>
    </w:p>
    <w:p>
      <w:pPr>
        <w:pStyle w:val="Compact"/>
        <w:numPr>
          <w:ilvl w:val="0"/>
          <w:numId w:val="1025"/>
        </w:numPr>
      </w:pPr>
      <w:r>
        <w:rPr>
          <w:b/>
          <w:bCs/>
        </w:rPr>
        <w:t xml:space="preserve">Tourism growth</w:t>
      </w:r>
      <w:r>
        <w:t xml:space="preserve"> </w:t>
      </w:r>
      <w:r>
        <w:t xml:space="preserve">correlating with GDP growth may reflect both responding to exogenous confidence shocks, not tourism causing growth</w:t>
      </w:r>
    </w:p>
    <w:p>
      <w:pPr>
        <w:pStyle w:val="Compact"/>
        <w:numPr>
          <w:ilvl w:val="0"/>
          <w:numId w:val="1025"/>
        </w:numPr>
      </w:pPr>
      <w:r>
        <w:rPr>
          <w:b/>
          <w:bCs/>
        </w:rPr>
        <w:t xml:space="preserve">Renewable energy growth</w:t>
      </w:r>
      <w:r>
        <w:t xml:space="preserve"> </w:t>
      </w:r>
      <w:r>
        <w:t xml:space="preserve">may respond to EU policy mandates rather than economic factors</w:t>
      </w:r>
    </w:p>
    <w:p>
      <w:pPr>
        <w:pStyle w:val="Compact"/>
        <w:numPr>
          <w:ilvl w:val="0"/>
          <w:numId w:val="1025"/>
        </w:numPr>
      </w:pPr>
      <w:r>
        <w:rPr>
          <w:b/>
          <w:bCs/>
        </w:rPr>
        <w:t xml:space="preserve">2008 crisis GDP declines</w:t>
      </w:r>
      <w:r>
        <w:t xml:space="preserve"> </w:t>
      </w:r>
      <w:r>
        <w:t xml:space="preserve">in tourism-dependent economies could reflect non-tourism sectors (finance, real estate) rather than tourism directly</w:t>
      </w:r>
    </w:p>
    <w:p>
      <w:pPr>
        <w:pStyle w:val="FirstParagraph"/>
      </w:pPr>
      <w:r>
        <w:t xml:space="preserve">Robust causality would require:</w:t>
      </w:r>
      <w:r>
        <w:t xml:space="preserve"> </w:t>
      </w:r>
      <w:r>
        <w:t xml:space="preserve">- Instrumental variable estimation (using policy shocks as exogenous instruments)</w:t>
      </w:r>
      <w:r>
        <w:t xml:space="preserve"> </w:t>
      </w:r>
      <w:r>
        <w:t xml:space="preserve">- Difference-in-differences designs comparing treatment/control countries</w:t>
      </w:r>
      <w:r>
        <w:t xml:space="preserve"> </w:t>
      </w:r>
      <w:r>
        <w:t xml:space="preserve">- Vector autoregression (VAR) models with Granger causality tests</w:t>
      </w:r>
    </w:p>
    <w:bookmarkEnd w:id="66"/>
    <w:bookmarkStart w:id="67" w:name="missing-dimensions"/>
    <w:p>
      <w:pPr>
        <w:pStyle w:val="Heading3"/>
      </w:pPr>
      <w:r>
        <w:t xml:space="preserve">6.3 Missing Dimensions</w:t>
      </w:r>
    </w:p>
    <w:p>
      <w:pPr>
        <w:pStyle w:val="Compact"/>
        <w:numPr>
          <w:ilvl w:val="0"/>
          <w:numId w:val="1026"/>
        </w:numPr>
      </w:pPr>
      <w:r>
        <w:rPr>
          <w:b/>
          <w:bCs/>
        </w:rPr>
        <w:t xml:space="preserve">Employment Multipliers</w:t>
      </w:r>
      <w:r>
        <w:t xml:space="preserve">: Tourism’s employment impact not quantified; labor intensity of tourism vs. renewable energy installation differs significantly</w:t>
      </w:r>
    </w:p>
    <w:p>
      <w:pPr>
        <w:pStyle w:val="Compact"/>
        <w:numPr>
          <w:ilvl w:val="0"/>
          <w:numId w:val="1026"/>
        </w:numPr>
      </w:pPr>
      <w:r>
        <w:rPr>
          <w:b/>
          <w:bCs/>
        </w:rPr>
        <w:t xml:space="preserve">Equity Considerations</w:t>
      </w:r>
      <w:r>
        <w:t xml:space="preserve">: No analysis of tourism revenue distribution (concentrated in coastal regions vs. inland) or renewable investment benefits (landownership, energy price impacts on households)</w:t>
      </w:r>
    </w:p>
    <w:p>
      <w:pPr>
        <w:pStyle w:val="Compact"/>
        <w:numPr>
          <w:ilvl w:val="0"/>
          <w:numId w:val="1026"/>
        </w:numPr>
      </w:pPr>
      <w:r>
        <w:rPr>
          <w:b/>
          <w:bCs/>
        </w:rPr>
        <w:t xml:space="preserve">Supply Chain Resilience</w:t>
      </w:r>
      <w:r>
        <w:t xml:space="preserve">: Tourism and renewable energy both face supply chain vulnerabilities (post-COVID evident for renewable equipment) not addressed</w:t>
      </w:r>
    </w:p>
    <w:p>
      <w:pPr>
        <w:pStyle w:val="Compact"/>
        <w:numPr>
          <w:ilvl w:val="0"/>
          <w:numId w:val="1026"/>
        </w:numPr>
      </w:pPr>
      <w:r>
        <w:rPr>
          <w:b/>
          <w:bCs/>
        </w:rPr>
        <w:t xml:space="preserve">Adaptation Costs</w:t>
      </w:r>
      <w:r>
        <w:t xml:space="preserve">: Climate change impacts on tourism destinations (e.g., Alpine tourism under warming scenarios) not included</w:t>
      </w:r>
    </w:p>
    <w:p>
      <w:pPr>
        <w:pStyle w:val="Compact"/>
        <w:numPr>
          <w:ilvl w:val="0"/>
          <w:numId w:val="1026"/>
        </w:numPr>
      </w:pPr>
      <w:r>
        <w:rPr>
          <w:b/>
          <w:bCs/>
        </w:rPr>
        <w:t xml:space="preserve">Sectoral Detail</w:t>
      </w:r>
      <w:r>
        <w:t xml:space="preserve">: Analysis aggregates all tourism types (mass, luxury, ecotourism); heterogeneous carbon footprints ignored</w:t>
      </w:r>
    </w:p>
    <w:p>
      <w:r>
        <w:pict>
          <v:rect style="width:0;height:1.5pt" o:hralign="center" o:hrstd="t" o:hr="t"/>
        </w:pict>
      </w:r>
    </w:p>
    <w:bookmarkEnd w:id="67"/>
    <w:bookmarkEnd w:id="68"/>
    <w:bookmarkStart w:id="74" w:name="policy-implications-and-recommendations"/>
    <w:p>
      <w:pPr>
        <w:pStyle w:val="Heading2"/>
      </w:pPr>
      <w:r>
        <w:t xml:space="preserve">7. Policy Implications and Recommendations</w:t>
      </w:r>
    </w:p>
    <w:bookmarkStart w:id="69" w:name="tourism-resilience-and-diversification"/>
    <w:p>
      <w:pPr>
        <w:pStyle w:val="Heading3"/>
      </w:pPr>
      <w:r>
        <w:t xml:space="preserve">7.1 Tourism Resilience and Diversification</w:t>
      </w:r>
    </w:p>
    <w:p>
      <w:pPr>
        <w:pStyle w:val="FirstParagraph"/>
      </w:pPr>
      <w:r>
        <w:rPr>
          <w:b/>
          <w:bCs/>
        </w:rPr>
        <w:t xml:space="preserve">Finding</w:t>
      </w:r>
      <w:r>
        <w:t xml:space="preserve">: Tourism-dependent economies vulnerable to supply-side shocks (COVID-19, climate disasters) but relatively resilient to demand-side shocks (financial crises).</w:t>
      </w:r>
    </w:p>
    <w:p>
      <w:pPr>
        <w:pStyle w:val="BodyText"/>
      </w:pPr>
      <w:r>
        <w:rPr>
          <w:b/>
          <w:bCs/>
        </w:rPr>
        <w:t xml:space="preserve">Recommendation</w:t>
      </w:r>
      <w:r>
        <w:t xml:space="preserve">:</w:t>
      </w:r>
      <w:r>
        <w:t xml:space="preserve"> </w:t>
      </w:r>
      <w:r>
        <w:t xml:space="preserve">- Develop</w:t>
      </w:r>
      <w:r>
        <w:t xml:space="preserve"> </w:t>
      </w:r>
      <w:r>
        <w:rPr>
          <w:b/>
          <w:bCs/>
        </w:rPr>
        <w:t xml:space="preserve">“</w:t>
      </w:r>
      <w:r>
        <w:rPr>
          <w:b/>
          <w:bCs/>
        </w:rPr>
        <w:t xml:space="preserve">Tourism Plus</w:t>
      </w:r>
      <w:r>
        <w:rPr>
          <w:b/>
          <w:bCs/>
        </w:rPr>
        <w:t xml:space="preserve">”</w:t>
      </w:r>
      <w:r>
        <w:rPr>
          <w:b/>
          <w:bCs/>
        </w:rPr>
        <w:t xml:space="preserve"> </w:t>
      </w:r>
      <w:r>
        <w:rPr>
          <w:b/>
          <w:bCs/>
        </w:rPr>
        <w:t xml:space="preserve">strategies</w:t>
      </w:r>
      <w:r>
        <w:t xml:space="preserve"> </w:t>
      </w:r>
      <w:r>
        <w:t xml:space="preserve">integrating renewable energy, digital services, and export manufacturing</w:t>
      </w:r>
      <w:r>
        <w:t xml:space="preserve"> </w:t>
      </w:r>
      <w:r>
        <w:t xml:space="preserve">- Create</w:t>
      </w:r>
      <w:r>
        <w:t xml:space="preserve"> </w:t>
      </w:r>
      <w:r>
        <w:rPr>
          <w:b/>
          <w:bCs/>
        </w:rPr>
        <w:t xml:space="preserve">crisis protocols</w:t>
      </w:r>
      <w:r>
        <w:t xml:space="preserve"> </w:t>
      </w:r>
      <w:r>
        <w:t xml:space="preserve">for tourism (travel insurance, dynamic pricing, supply chain buffers) given 2020 precedent</w:t>
      </w:r>
      <w:r>
        <w:t xml:space="preserve"> </w:t>
      </w:r>
      <w:r>
        <w:t xml:space="preserve">- Invest in</w:t>
      </w:r>
      <w:r>
        <w:t xml:space="preserve"> </w:t>
      </w:r>
      <w:r>
        <w:rPr>
          <w:b/>
          <w:bCs/>
        </w:rPr>
        <w:t xml:space="preserve">domestic demand stimulation</w:t>
      </w:r>
      <w:r>
        <w:t xml:space="preserve"> </w:t>
      </w:r>
      <w:r>
        <w:t xml:space="preserve">(local tourism promotion) to reduce international dependency</w:t>
      </w:r>
    </w:p>
    <w:bookmarkEnd w:id="69"/>
    <w:bookmarkStart w:id="70" w:name="renewable-energy-acceleration"/>
    <w:p>
      <w:pPr>
        <w:pStyle w:val="Heading3"/>
      </w:pPr>
      <w:r>
        <w:t xml:space="preserve">7.2 Renewable Energy Acceleration</w:t>
      </w:r>
    </w:p>
    <w:p>
      <w:pPr>
        <w:pStyle w:val="FirstParagraph"/>
      </w:pPr>
      <w:r>
        <w:rPr>
          <w:b/>
          <w:bCs/>
        </w:rPr>
        <w:t xml:space="preserve">Finding</w:t>
      </w:r>
      <w:r>
        <w:t xml:space="preserve">: EU renewables growth accelerating (2015–2020: +3.4pp annually vs. 2000–2015: +0.6pp annually), but deployment speed must</w:t>
      </w:r>
      <w:r>
        <w:t xml:space="preserve"> </w:t>
      </w:r>
      <w:r>
        <w:rPr>
          <w:b/>
          <w:bCs/>
        </w:rPr>
        <w:t xml:space="preserve">triple</w:t>
      </w:r>
      <w:r>
        <w:t xml:space="preserve"> </w:t>
      </w:r>
      <w:r>
        <w:t xml:space="preserve">to meet 2030 targets (70% electricity from renewables).</w:t>
      </w:r>
    </w:p>
    <w:p>
      <w:pPr>
        <w:pStyle w:val="BodyText"/>
      </w:pPr>
      <w:r>
        <w:rPr>
          <w:b/>
          <w:bCs/>
        </w:rPr>
        <w:t xml:space="preserve">Recommendation</w:t>
      </w:r>
      <w:r>
        <w:t xml:space="preserve">:</w:t>
      </w:r>
      <w:r>
        <w:t xml:space="preserve"> </w:t>
      </w:r>
      <w:r>
        <w:t xml:space="preserve">- Prioritize</w:t>
      </w:r>
      <w:r>
        <w:t xml:space="preserve"> </w:t>
      </w:r>
      <w:r>
        <w:rPr>
          <w:b/>
          <w:bCs/>
        </w:rPr>
        <w:t xml:space="preserve">solar deployment in Southern Europe</w:t>
      </w:r>
      <w:r>
        <w:t xml:space="preserve"> </w:t>
      </w:r>
      <w:r>
        <w:t xml:space="preserve">(Spain, Portugal, Italy, Greece) where underutilized despite excellent solar resources</w:t>
      </w:r>
      <w:r>
        <w:t xml:space="preserve"> </w:t>
      </w:r>
      <w:r>
        <w:t xml:space="preserve">- Accelerate</w:t>
      </w:r>
      <w:r>
        <w:t xml:space="preserve"> </w:t>
      </w:r>
      <w:r>
        <w:rPr>
          <w:b/>
          <w:bCs/>
        </w:rPr>
        <w:t xml:space="preserve">wind offshore expansion</w:t>
      </w:r>
      <w:r>
        <w:t xml:space="preserve"> </w:t>
      </w:r>
      <w:r>
        <w:t xml:space="preserve">in Northern Europe (North Sea capacity potential)</w:t>
      </w:r>
      <w:r>
        <w:t xml:space="preserve"> </w:t>
      </w:r>
      <w:r>
        <w:t xml:space="preserve">- Address</w:t>
      </w:r>
      <w:r>
        <w:t xml:space="preserve"> </w:t>
      </w:r>
      <w:r>
        <w:rPr>
          <w:b/>
          <w:bCs/>
        </w:rPr>
        <w:t xml:space="preserve">bottlenecks</w:t>
      </w:r>
      <w:r>
        <w:t xml:space="preserve">: grid infrastructure, permitting timelines, skills shortages in installation</w:t>
      </w:r>
      <w:r>
        <w:t xml:space="preserve"> </w:t>
      </w:r>
      <w:r>
        <w:t xml:space="preserve">- Allocate</w:t>
      </w:r>
      <w:r>
        <w:t xml:space="preserve"> </w:t>
      </w:r>
      <w:r>
        <w:rPr>
          <w:b/>
          <w:bCs/>
        </w:rPr>
        <w:t xml:space="preserve">€98 billion annually</w:t>
      </w:r>
      <w:r>
        <w:t xml:space="preserve"> </w:t>
      </w:r>
      <w:r>
        <w:t xml:space="preserve">(vs. current €84 billion) for generation capacity investment[4]</w:t>
      </w:r>
    </w:p>
    <w:bookmarkEnd w:id="70"/>
    <w:bookmarkStart w:id="71" w:name="tourism-energy-integration-opportunity"/>
    <w:p>
      <w:pPr>
        <w:pStyle w:val="Heading3"/>
      </w:pPr>
      <w:r>
        <w:t xml:space="preserve">7.3 Tourism-Energy Integration Opportunity</w:t>
      </w:r>
    </w:p>
    <w:p>
      <w:pPr>
        <w:pStyle w:val="FirstParagraph"/>
      </w:pPr>
      <w:r>
        <w:rPr>
          <w:b/>
          <w:bCs/>
        </w:rPr>
        <w:t xml:space="preserve">Finding</w:t>
      </w:r>
      <w:r>
        <w:t xml:space="preserve">: Weak correlation between tourism dependency and renewable energy suggests untapped synergy potential.</w:t>
      </w:r>
    </w:p>
    <w:p>
      <w:pPr>
        <w:pStyle w:val="BodyText"/>
      </w:pPr>
      <w:r>
        <w:rPr>
          <w:b/>
          <w:bCs/>
        </w:rPr>
        <w:t xml:space="preserve">Recommendation</w:t>
      </w:r>
      <w:r>
        <w:t xml:space="preserve">:</w:t>
      </w:r>
      <w:r>
        <w:t xml:space="preserve"> </w:t>
      </w:r>
      <w:r>
        <w:t xml:space="preserve">- Develop</w:t>
      </w:r>
      <w:r>
        <w:t xml:space="preserve"> </w:t>
      </w:r>
      <w:r>
        <w:rPr>
          <w:b/>
          <w:bCs/>
        </w:rPr>
        <w:t xml:space="preserve">“</w:t>
      </w:r>
      <w:r>
        <w:rPr>
          <w:b/>
          <w:bCs/>
        </w:rPr>
        <w:t xml:space="preserve">Green Tourism</w:t>
      </w:r>
      <w:r>
        <w:rPr>
          <w:b/>
          <w:bCs/>
        </w:rPr>
        <w:t xml:space="preserve">”</w:t>
      </w:r>
      <w:r>
        <w:rPr>
          <w:b/>
          <w:bCs/>
        </w:rPr>
        <w:t xml:space="preserve"> </w:t>
      </w:r>
      <w:r>
        <w:rPr>
          <w:b/>
          <w:bCs/>
        </w:rPr>
        <w:t xml:space="preserve">certification standards</w:t>
      </w:r>
      <w:r>
        <w:t xml:space="preserve"> </w:t>
      </w:r>
      <w:r>
        <w:t xml:space="preserve">(renewable-powered accommodations, sustainable transport) with marketing differentiation</w:t>
      </w:r>
      <w:r>
        <w:t xml:space="preserve"> </w:t>
      </w:r>
      <w:r>
        <w:t xml:space="preserve">- Implement</w:t>
      </w:r>
      <w:r>
        <w:t xml:space="preserve"> </w:t>
      </w:r>
      <w:r>
        <w:rPr>
          <w:b/>
          <w:bCs/>
        </w:rPr>
        <w:t xml:space="preserve">Carbon pricing for tourism</w:t>
      </w:r>
      <w:r>
        <w:t xml:space="preserve"> </w:t>
      </w:r>
      <w:r>
        <w:t xml:space="preserve">(flight taxes, accommodation energy charges) with revenues dedicated to renewable investment</w:t>
      </w:r>
      <w:r>
        <w:t xml:space="preserve"> </w:t>
      </w:r>
      <w:r>
        <w:t xml:space="preserve">- Create</w:t>
      </w:r>
      <w:r>
        <w:t xml:space="preserve"> </w:t>
      </w:r>
      <w:r>
        <w:rPr>
          <w:b/>
          <w:bCs/>
        </w:rPr>
        <w:t xml:space="preserve">flagship green tourism destinations</w:t>
      </w:r>
      <w:r>
        <w:t xml:space="preserve"> </w:t>
      </w:r>
      <w:r>
        <w:t xml:space="preserve">(e.g.,</w:t>
      </w:r>
      <w:r>
        <w:t xml:space="preserve"> </w:t>
      </w:r>
      <w:r>
        <w:t xml:space="preserve">“</w:t>
      </w:r>
      <w:r>
        <w:t xml:space="preserve">100% renewable resort</w:t>
      </w:r>
      <w:r>
        <w:t xml:space="preserve">”</w:t>
      </w:r>
      <w:r>
        <w:t xml:space="preserve"> </w:t>
      </w:r>
      <w:r>
        <w:t xml:space="preserve">showcases) with government support</w:t>
      </w:r>
      <w:r>
        <w:t xml:space="preserve"> </w:t>
      </w:r>
      <w:r>
        <w:t xml:space="preserve">- Integrate</w:t>
      </w:r>
      <w:r>
        <w:t xml:space="preserve"> </w:t>
      </w:r>
      <w:r>
        <w:rPr>
          <w:b/>
          <w:bCs/>
        </w:rPr>
        <w:t xml:space="preserve">tourism workforce training</w:t>
      </w:r>
      <w:r>
        <w:t xml:space="preserve"> </w:t>
      </w:r>
      <w:r>
        <w:t xml:space="preserve">in renewable energy operation, creating cross-sector labor pool</w:t>
      </w:r>
    </w:p>
    <w:bookmarkEnd w:id="71"/>
    <w:bookmarkStart w:id="72" w:name="regional-equity-and-just-transition"/>
    <w:p>
      <w:pPr>
        <w:pStyle w:val="Heading3"/>
      </w:pPr>
      <w:r>
        <w:t xml:space="preserve">7.4 Regional Equity and Just Transition</w:t>
      </w:r>
    </w:p>
    <w:p>
      <w:pPr>
        <w:pStyle w:val="FirstParagraph"/>
      </w:pPr>
      <w:r>
        <w:rPr>
          <w:b/>
          <w:bCs/>
        </w:rPr>
        <w:t xml:space="preserve">Finding</w:t>
      </w:r>
      <w:r>
        <w:t xml:space="preserve">: Central European countries (Poland, Czech Republic) lag in renewable transition despite coal employment, creating political economy resistance.</w:t>
      </w:r>
    </w:p>
    <w:p>
      <w:pPr>
        <w:pStyle w:val="BodyText"/>
      </w:pPr>
      <w:r>
        <w:rPr>
          <w:b/>
          <w:bCs/>
        </w:rPr>
        <w:t xml:space="preserve">Recommendation</w:t>
      </w:r>
      <w:r>
        <w:t xml:space="preserve">:</w:t>
      </w:r>
      <w:r>
        <w:t xml:space="preserve"> </w:t>
      </w:r>
      <w:r>
        <w:t xml:space="preserve">- Allocate</w:t>
      </w:r>
      <w:r>
        <w:t xml:space="preserve"> </w:t>
      </w:r>
      <w:r>
        <w:rPr>
          <w:b/>
          <w:bCs/>
        </w:rPr>
        <w:t xml:space="preserve">Just Transition funds</w:t>
      </w:r>
      <w:r>
        <w:t xml:space="preserve"> </w:t>
      </w:r>
      <w:r>
        <w:t xml:space="preserve">(EU mechanism exists) prioritizing coal-region workforce retraining</w:t>
      </w:r>
      <w:r>
        <w:t xml:space="preserve"> </w:t>
      </w:r>
      <w:r>
        <w:t xml:space="preserve">- Support</w:t>
      </w:r>
      <w:r>
        <w:t xml:space="preserve"> </w:t>
      </w:r>
      <w:r>
        <w:rPr>
          <w:b/>
          <w:bCs/>
        </w:rPr>
        <w:t xml:space="preserve">renewable manufacturing hubs</w:t>
      </w:r>
      <w:r>
        <w:t xml:space="preserve"> </w:t>
      </w:r>
      <w:r>
        <w:t xml:space="preserve">in coal regions to create alternative employment</w:t>
      </w:r>
      <w:r>
        <w:t xml:space="preserve"> </w:t>
      </w:r>
      <w:r>
        <w:t xml:space="preserve">- Accelerate</w:t>
      </w:r>
      <w:r>
        <w:t xml:space="preserve"> </w:t>
      </w:r>
      <w:r>
        <w:rPr>
          <w:b/>
          <w:bCs/>
        </w:rPr>
        <w:t xml:space="preserve">EV charging networks</w:t>
      </w:r>
      <w:r>
        <w:t xml:space="preserve"> </w:t>
      </w:r>
      <w:r>
        <w:t xml:space="preserve">in Central Europe to create tourism/local mobility synergies</w:t>
      </w:r>
      <w:r>
        <w:t xml:space="preserve"> </w:t>
      </w:r>
      <w:r>
        <w:t xml:space="preserve">- Address</w:t>
      </w:r>
      <w:r>
        <w:t xml:space="preserve"> </w:t>
      </w:r>
      <w:r>
        <w:rPr>
          <w:b/>
          <w:bCs/>
        </w:rPr>
        <w:t xml:space="preserve">energy poverty</w:t>
      </w:r>
      <w:r>
        <w:t xml:space="preserve"> </w:t>
      </w:r>
      <w:r>
        <w:t xml:space="preserve">where coal phase-out risks heating affordability; subsidize renewable heating systems</w:t>
      </w:r>
    </w:p>
    <w:bookmarkEnd w:id="72"/>
    <w:bookmarkStart w:id="73" w:name="crisis-preparedness"/>
    <w:p>
      <w:pPr>
        <w:pStyle w:val="Heading3"/>
      </w:pPr>
      <w:r>
        <w:t xml:space="preserve">7.5 Crisis Preparedness</w:t>
      </w:r>
    </w:p>
    <w:p>
      <w:pPr>
        <w:pStyle w:val="FirstParagraph"/>
      </w:pPr>
      <w:r>
        <w:rPr>
          <w:b/>
          <w:bCs/>
        </w:rPr>
        <w:t xml:space="preserve">Finding</w:t>
      </w:r>
      <w:r>
        <w:t xml:space="preserve">: 2020 COVID-19 revealed systemic vulnerabilities (tourism concentration, supply chain dependence for renewable equipment).</w:t>
      </w:r>
    </w:p>
    <w:p>
      <w:pPr>
        <w:pStyle w:val="BodyText"/>
      </w:pPr>
      <w:r>
        <w:rPr>
          <w:b/>
          <w:bCs/>
        </w:rPr>
        <w:t xml:space="preserve">Recommendation</w:t>
      </w:r>
      <w:r>
        <w:t xml:space="preserve">:</w:t>
      </w:r>
      <w:r>
        <w:t xml:space="preserve"> </w:t>
      </w:r>
      <w:r>
        <w:t xml:space="preserve">- Build</w:t>
      </w:r>
      <w:r>
        <w:t xml:space="preserve"> </w:t>
      </w:r>
      <w:r>
        <w:rPr>
          <w:b/>
          <w:bCs/>
        </w:rPr>
        <w:t xml:space="preserve">tourism supply chain resilience</w:t>
      </w:r>
      <w:r>
        <w:t xml:space="preserve"> </w:t>
      </w:r>
      <w:r>
        <w:t xml:space="preserve">through geographic diversification and local sourcing where possible</w:t>
      </w:r>
      <w:r>
        <w:t xml:space="preserve"> </w:t>
      </w:r>
      <w:r>
        <w:t xml:space="preserve">- Develop</w:t>
      </w:r>
      <w:r>
        <w:t xml:space="preserve"> </w:t>
      </w:r>
      <w:r>
        <w:rPr>
          <w:b/>
          <w:bCs/>
        </w:rPr>
        <w:t xml:space="preserve">strategic renewable energy equipment reserves</w:t>
      </w:r>
      <w:r>
        <w:t xml:space="preserve"> </w:t>
      </w:r>
      <w:r>
        <w:t xml:space="preserve">(critical components) to prevent import disruptions</w:t>
      </w:r>
      <w:r>
        <w:t xml:space="preserve"> </w:t>
      </w:r>
      <w:r>
        <w:t xml:space="preserve">- Create</w:t>
      </w:r>
      <w:r>
        <w:t xml:space="preserve"> </w:t>
      </w:r>
      <w:r>
        <w:rPr>
          <w:b/>
          <w:bCs/>
        </w:rPr>
        <w:t xml:space="preserve">crisis fiscal mechanisms</w:t>
      </w:r>
      <w:r>
        <w:t xml:space="preserve"> </w:t>
      </w:r>
      <w:r>
        <w:t xml:space="preserve">combining tourism support and renewable acceleration (as EU did 2020–2021)</w:t>
      </w:r>
      <w:r>
        <w:t xml:space="preserve"> </w:t>
      </w:r>
      <w:r>
        <w:t xml:space="preserve">- Integrate</w:t>
      </w:r>
      <w:r>
        <w:t xml:space="preserve"> </w:t>
      </w:r>
      <w:r>
        <w:rPr>
          <w:b/>
          <w:bCs/>
        </w:rPr>
        <w:t xml:space="preserve">pandemic risk</w:t>
      </w:r>
      <w:r>
        <w:t xml:space="preserve"> </w:t>
      </w:r>
      <w:r>
        <w:t xml:space="preserve">into energy planning (renewable energy resilient to lockdowns; tourism highly vulnerable)</w:t>
      </w:r>
    </w:p>
    <w:p>
      <w:r>
        <w:pict>
          <v:rect style="width:0;height:1.5pt" o:hralign="center" o:hrstd="t" o:hr="t"/>
        </w:pict>
      </w:r>
    </w:p>
    <w:bookmarkEnd w:id="73"/>
    <w:bookmarkEnd w:id="74"/>
    <w:bookmarkStart w:id="78" w:name="conclusions"/>
    <w:p>
      <w:pPr>
        <w:pStyle w:val="Heading2"/>
      </w:pPr>
      <w:r>
        <w:t xml:space="preserve">8. Conclusions</w:t>
      </w:r>
    </w:p>
    <w:p>
      <w:pPr>
        <w:pStyle w:val="FirstParagraph"/>
      </w:pPr>
      <w:r>
        <w:t xml:space="preserve">This integrated analysis of European macroeconomic conditions, tourism development, and energy transition (2000–2020) reveals a complex, non-linear relationship:</w:t>
      </w:r>
    </w:p>
    <w:bookmarkStart w:id="75" w:name="key-findings-synthesis"/>
    <w:p>
      <w:pPr>
        <w:pStyle w:val="Heading3"/>
      </w:pPr>
      <w:r>
        <w:t xml:space="preserve">Key Findings Synthesis</w:t>
      </w:r>
    </w:p>
    <w:p>
      <w:pPr>
        <w:numPr>
          <w:ilvl w:val="0"/>
          <w:numId w:val="1027"/>
        </w:numPr>
      </w:pPr>
      <w:r>
        <w:rPr>
          <w:b/>
          <w:bCs/>
        </w:rPr>
        <w:t xml:space="preserve">Decarbonization Milestone Achieved</w:t>
      </w:r>
      <w:r>
        <w:t xml:space="preserve">: EU electricity generation carbon intensity declined 62% since 1990 and 29% since 2015, with renewables overtaking fossil fuels in 2020 for the first time[2]. This represents transformation of European energy infrastructure, yet</w:t>
      </w:r>
      <w:r>
        <w:t xml:space="preserve"> </w:t>
      </w:r>
      <w:r>
        <w:rPr>
          <w:b/>
          <w:bCs/>
        </w:rPr>
        <w:t xml:space="preserve">acceleration must triple</w:t>
      </w:r>
      <w:r>
        <w:t xml:space="preserve"> </w:t>
      </w:r>
      <w:r>
        <w:t xml:space="preserve">to meet 2030 targets.</w:t>
      </w:r>
    </w:p>
    <w:p>
      <w:pPr>
        <w:numPr>
          <w:ilvl w:val="0"/>
          <w:numId w:val="1027"/>
        </w:numPr>
      </w:pPr>
      <w:r>
        <w:rPr>
          <w:b/>
          <w:bCs/>
        </w:rPr>
        <w:t xml:space="preserve">Tourism Resilience and Vulnerability</w:t>
      </w:r>
      <w:r>
        <w:t xml:space="preserve">: Tourism-dependent economies (Croatia, Portugal, Bulgaria) showed GDP resilience to 2008 financial crisis but catastrophic vulnerability to 2020 pandemic (−32% tourism value added). This asymmetry reflects demand-side vs. supply-side shock dynamics.</w:t>
      </w:r>
    </w:p>
    <w:p>
      <w:pPr>
        <w:numPr>
          <w:ilvl w:val="0"/>
          <w:numId w:val="1027"/>
        </w:numPr>
      </w:pPr>
      <w:r>
        <w:rPr>
          <w:b/>
          <w:bCs/>
        </w:rPr>
        <w:t xml:space="preserve">Crisis as Policy Accelerator</w:t>
      </w:r>
      <w:r>
        <w:t xml:space="preserve">: Contrary to expectation, 2020 crisis</w:t>
      </w:r>
      <w:r>
        <w:t xml:space="preserve"> </w:t>
      </w:r>
      <w:r>
        <w:rPr>
          <w:b/>
          <w:bCs/>
        </w:rPr>
        <w:t xml:space="preserve">accelerated</w:t>
      </w:r>
      <w:r>
        <w:t xml:space="preserve"> </w:t>
      </w:r>
      <w:r>
        <w:t xml:space="preserve">renewable energy transition through EU recovery policy and cost advantages, suggesting climate investment is complementary to economic recovery, not competitive.</w:t>
      </w:r>
    </w:p>
    <w:p>
      <w:pPr>
        <w:numPr>
          <w:ilvl w:val="0"/>
          <w:numId w:val="1027"/>
        </w:numPr>
      </w:pPr>
      <w:r>
        <w:rPr>
          <w:b/>
          <w:bCs/>
        </w:rPr>
        <w:t xml:space="preserve">“</w:t>
      </w:r>
      <w:r>
        <w:rPr>
          <w:b/>
          <w:bCs/>
        </w:rPr>
        <w:t xml:space="preserve">Triple Win</w:t>
      </w:r>
      <w:r>
        <w:rPr>
          <w:b/>
          <w:bCs/>
        </w:rPr>
        <w:t xml:space="preserve">”</w:t>
      </w:r>
      <w:r>
        <w:rPr>
          <w:b/>
          <w:bCs/>
        </w:rPr>
        <w:t xml:space="preserve"> </w:t>
      </w:r>
      <w:r>
        <w:rPr>
          <w:b/>
          <w:bCs/>
        </w:rPr>
        <w:t xml:space="preserve">Countries Exist</w:t>
      </w:r>
      <w:r>
        <w:t xml:space="preserve">: Estonia, Hungary, North Macedonia, Portugal, and Spain achieved simultaneous GDP growth (&gt;2%), tourism growth (&gt;2% arrivals), and renewable transition (&gt;50% share increase), proving sustainable growth pathway feasible.</w:t>
      </w:r>
    </w:p>
    <w:p>
      <w:pPr>
        <w:numPr>
          <w:ilvl w:val="0"/>
          <w:numId w:val="1027"/>
        </w:numPr>
      </w:pPr>
      <w:r>
        <w:rPr>
          <w:b/>
          <w:bCs/>
        </w:rPr>
        <w:t xml:space="preserve">Weak Tourism-Energy Correlation</w:t>
      </w:r>
      <w:r>
        <w:t xml:space="preserve">: Despite intuition, tourism dependency shows weak negative correlation (r = −0.17) with renewable energy adoption, suggesting tourism does not systematically drive or hinder decarbonization. Political commitment and resource endowments dominate.</w:t>
      </w:r>
    </w:p>
    <w:p>
      <w:pPr>
        <w:numPr>
          <w:ilvl w:val="0"/>
          <w:numId w:val="1027"/>
        </w:numPr>
      </w:pPr>
      <w:r>
        <w:rPr>
          <w:b/>
          <w:bCs/>
        </w:rPr>
        <w:t xml:space="preserve">Regional Divergence Persists</w:t>
      </w:r>
      <w:r>
        <w:t xml:space="preserve">: Western/Northern Europe advanced renewables through sustained policy + technology access, while Central Europe lagged due to coal industry incumbency. Southern Europe achieved leadership through solar advantages + strong political commitment (Portugal, Spain).</w:t>
      </w:r>
    </w:p>
    <w:bookmarkEnd w:id="75"/>
    <w:bookmarkStart w:id="76" w:name="strategic-synthesis"/>
    <w:p>
      <w:pPr>
        <w:pStyle w:val="Heading3"/>
      </w:pPr>
      <w:r>
        <w:t xml:space="preserve">Strategic Synthesis</w:t>
      </w:r>
    </w:p>
    <w:p>
      <w:pPr>
        <w:pStyle w:val="FirstParagraph"/>
      </w:pPr>
      <w:r>
        <w:t xml:space="preserve">The European experience (2000–2020) suggests</w:t>
      </w:r>
      <w:r>
        <w:t xml:space="preserve"> </w:t>
      </w:r>
      <w:r>
        <w:rPr>
          <w:b/>
          <w:bCs/>
        </w:rPr>
        <w:t xml:space="preserve">optimal sustainable growth strategy combines</w:t>
      </w:r>
      <w:r>
        <w:t xml:space="preserve">:</w:t>
      </w:r>
    </w:p>
    <w:p>
      <w:pPr>
        <w:pStyle w:val="Compact"/>
        <w:numPr>
          <w:ilvl w:val="0"/>
          <w:numId w:val="1028"/>
        </w:numPr>
      </w:pPr>
      <w:r>
        <w:rPr>
          <w:b/>
          <w:bCs/>
        </w:rPr>
        <w:t xml:space="preserve">Renewable energy acceleration</w:t>
      </w:r>
      <w:r>
        <w:t xml:space="preserve"> </w:t>
      </w:r>
      <w:r>
        <w:t xml:space="preserve">as primary decarbonization lever (electricity transformation necessary but insufficient; must electrify transport, heating, industry)</w:t>
      </w:r>
    </w:p>
    <w:p>
      <w:pPr>
        <w:pStyle w:val="Compact"/>
        <w:numPr>
          <w:ilvl w:val="0"/>
          <w:numId w:val="1028"/>
        </w:numPr>
      </w:pPr>
      <w:r>
        <w:rPr>
          <w:b/>
          <w:bCs/>
        </w:rPr>
        <w:t xml:space="preserve">Tourism quality over quantity</w:t>
      </w:r>
      <w:r>
        <w:t xml:space="preserve"> </w:t>
      </w:r>
      <w:r>
        <w:t xml:space="preserve">focusing on premium, low-carbon travel models rather than mass tourism volume</w:t>
      </w:r>
    </w:p>
    <w:p>
      <w:pPr>
        <w:pStyle w:val="Compact"/>
        <w:numPr>
          <w:ilvl w:val="0"/>
          <w:numId w:val="1028"/>
        </w:numPr>
      </w:pPr>
      <w:r>
        <w:rPr>
          <w:b/>
          <w:bCs/>
        </w:rPr>
        <w:t xml:space="preserve">Regional specialization</w:t>
      </w:r>
      <w:r>
        <w:t xml:space="preserve"> </w:t>
      </w:r>
      <w:r>
        <w:t xml:space="preserve">respecting comparative advantages (Southern Europe: solar + tourism, Northern Europe: wind + offshore, Central Europe: infrastructure renovation + skills transition)</w:t>
      </w:r>
    </w:p>
    <w:p>
      <w:pPr>
        <w:pStyle w:val="Compact"/>
        <w:numPr>
          <w:ilvl w:val="0"/>
          <w:numId w:val="1028"/>
        </w:numPr>
      </w:pPr>
      <w:r>
        <w:rPr>
          <w:b/>
          <w:bCs/>
        </w:rPr>
        <w:t xml:space="preserve">Policy coherence</w:t>
      </w:r>
      <w:r>
        <w:t xml:space="preserve"> </w:t>
      </w:r>
      <w:r>
        <w:t xml:space="preserve">integrating climate targets, tourism strategy, and industrial policy to maximize synergies</w:t>
      </w:r>
    </w:p>
    <w:p>
      <w:pPr>
        <w:pStyle w:val="Compact"/>
        <w:numPr>
          <w:ilvl w:val="0"/>
          <w:numId w:val="1028"/>
        </w:numPr>
      </w:pPr>
      <w:r>
        <w:rPr>
          <w:b/>
          <w:bCs/>
        </w:rPr>
        <w:t xml:space="preserve">Crisis resilience</w:t>
      </w:r>
      <w:r>
        <w:t xml:space="preserve"> </w:t>
      </w:r>
      <w:r>
        <w:t xml:space="preserve">through supply chain diversification and demand diversification (not relying on tourism for GDP)</w:t>
      </w:r>
    </w:p>
    <w:bookmarkEnd w:id="76"/>
    <w:bookmarkStart w:id="77" w:name="future-outlook-20212030"/>
    <w:p>
      <w:pPr>
        <w:pStyle w:val="Heading3"/>
      </w:pPr>
      <w:r>
        <w:t xml:space="preserve">Future Outlook (2021–2030)</w:t>
      </w:r>
    </w:p>
    <w:p>
      <w:pPr>
        <w:pStyle w:val="FirstParagraph"/>
      </w:pPr>
      <w:r>
        <w:t xml:space="preserve">The EU’s pathway to 2030 requires:</w:t>
      </w:r>
      <w:r>
        <w:t xml:space="preserve"> </w:t>
      </w:r>
      <w:r>
        <w:t xml:space="preserve">-</w:t>
      </w:r>
      <w:r>
        <w:t xml:space="preserve"> </w:t>
      </w:r>
      <w:r>
        <w:rPr>
          <w:b/>
          <w:bCs/>
        </w:rPr>
        <w:t xml:space="preserve">Wind and solar deployment at 100 TWh annually</w:t>
      </w:r>
      <w:r>
        <w:t xml:space="preserve"> </w:t>
      </w:r>
      <w:r>
        <w:t xml:space="preserve">(vs. 51 TWh in 2020), implying ~2× acceleration[2]</w:t>
      </w:r>
      <w:r>
        <w:t xml:space="preserve"> </w:t>
      </w:r>
      <w:r>
        <w:t xml:space="preserve">-</w:t>
      </w:r>
      <w:r>
        <w:t xml:space="preserve"> </w:t>
      </w:r>
      <w:r>
        <w:rPr>
          <w:b/>
          <w:bCs/>
        </w:rPr>
        <w:t xml:space="preserve">Coal generation near-zero</w:t>
      </w:r>
      <w:r>
        <w:t xml:space="preserve"> </w:t>
      </w:r>
      <w:r>
        <w:t xml:space="preserve">by 2030 (currently 13% of mix)</w:t>
      </w:r>
      <w:r>
        <w:t xml:space="preserve"> </w:t>
      </w:r>
      <w:r>
        <w:t xml:space="preserve">-</w:t>
      </w:r>
      <w:r>
        <w:t xml:space="preserve"> </w:t>
      </w:r>
      <w:r>
        <w:rPr>
          <w:b/>
          <w:bCs/>
        </w:rPr>
        <w:t xml:space="preserve">Gas generation phase-out initiated</w:t>
      </w:r>
      <w:r>
        <w:t xml:space="preserve"> </w:t>
      </w:r>
      <w:r>
        <w:t xml:space="preserve">(currently 20%, must decline post-2030)</w:t>
      </w:r>
      <w:r>
        <w:t xml:space="preserve"> </w:t>
      </w:r>
      <w:r>
        <w:t xml:space="preserve">-</w:t>
      </w:r>
      <w:r>
        <w:t xml:space="preserve"> </w:t>
      </w:r>
      <w:r>
        <w:rPr>
          <w:b/>
          <w:bCs/>
        </w:rPr>
        <w:t xml:space="preserve">Tourism recovery and optimization</w:t>
      </w:r>
      <w:r>
        <w:t xml:space="preserve"> </w:t>
      </w:r>
      <w:r>
        <w:t xml:space="preserve">as pandemic recovery completes; sustainability imperative as climate damages intensify</w:t>
      </w:r>
      <w:r>
        <w:t xml:space="preserve"> </w:t>
      </w:r>
      <w:r>
        <w:t xml:space="preserve">-</w:t>
      </w:r>
      <w:r>
        <w:t xml:space="preserve"> </w:t>
      </w:r>
      <w:r>
        <w:rPr>
          <w:b/>
          <w:bCs/>
        </w:rPr>
        <w:t xml:space="preserve">Cross-sectoral integration</w:t>
      </w:r>
      <w:r>
        <w:t xml:space="preserve"> </w:t>
      </w:r>
      <w:r>
        <w:t xml:space="preserve">of energy, tourism, transport, and industrial policy under climate framework</w:t>
      </w:r>
    </w:p>
    <w:p>
      <w:pPr>
        <w:pStyle w:val="BodyText"/>
      </w:pPr>
      <w:r>
        <w:t xml:space="preserve">This report demonstrates that</w:t>
      </w:r>
      <w:r>
        <w:t xml:space="preserve"> </w:t>
      </w:r>
      <w:r>
        <w:rPr>
          <w:b/>
          <w:bCs/>
        </w:rPr>
        <w:t xml:space="preserve">sustainable economic growth integrating tourism development and energy transition is achievable but requires coordinated policy and accelerated technology deployment</w:t>
      </w:r>
      <w:r>
        <w:t xml:space="preserve">. The</w:t>
      </w:r>
      <w:r>
        <w:t xml:space="preserve"> </w:t>
      </w:r>
      <w:r>
        <w:t xml:space="preserve">“</w:t>
      </w:r>
      <w:r>
        <w:t xml:space="preserve">triple win</w:t>
      </w:r>
      <w:r>
        <w:t xml:space="preserve">”</w:t>
      </w:r>
      <w:r>
        <w:t xml:space="preserve"> </w:t>
      </w:r>
      <w:r>
        <w:t xml:space="preserve">countries provide templates; broader replication requires stronger political commitment and equitable financing mechanisms for lagging regions.</w:t>
      </w:r>
    </w:p>
    <w:p>
      <w:r>
        <w:pict>
          <v:rect style="width:0;height:1.5pt" o:hralign="center" o:hrstd="t" o:hr="t"/>
        </w:pict>
      </w:r>
    </w:p>
    <w:bookmarkEnd w:id="77"/>
    <w:bookmarkEnd w:id="78"/>
    <w:bookmarkStart w:id="79" w:name="references"/>
    <w:p>
      <w:pPr>
        <w:pStyle w:val="Heading2"/>
      </w:pPr>
      <w:r>
        <w:t xml:space="preserve">References</w:t>
      </w:r>
    </w:p>
    <w:p>
      <w:pPr>
        <w:pStyle w:val="FirstParagraph"/>
      </w:pPr>
      <w:r>
        <w:t xml:space="preserve">[1] Eurostat. (2023). Tourism statistics - Statistics Explained. Retrieved from https://ec.europa.eu/eurostat/statistics-explained/index.php/Tourism_statistics</w:t>
      </w:r>
    </w:p>
    <w:p>
      <w:pPr>
        <w:pStyle w:val="BodyText"/>
      </w:pPr>
      <w:r>
        <w:t xml:space="preserve">[2] Ember Energy. (2024). EU Power Sector in 2020: Renewables overtake fossil fuels. Retrieved from https://ember-energy.org/latest-insights/eu-power-sector-in-2020/</w:t>
      </w:r>
    </w:p>
    <w:p>
      <w:pPr>
        <w:pStyle w:val="BodyText"/>
      </w:pPr>
      <w:r>
        <w:t xml:space="preserve">[3] Trade.gov.pl. (2023). A renaissance in the EU’s tourism sector. Retrieved from https://www.trade.gov.pl/en/news/a-renaissance-in-the-eus-tourism-sector/</w:t>
      </w:r>
    </w:p>
    <w:p>
      <w:pPr>
        <w:pStyle w:val="BodyText"/>
      </w:pPr>
      <w:r>
        <w:t xml:space="preserve">[4] European Environment Agency. (2025). Greenhouse gas emission intensity of electricity generation in Europe. Retrieved from https://www.eea.europa.eu/en/analysis/indicators/greenhouse-gas-emission-intensity-of-1</w:t>
      </w:r>
    </w:p>
    <w:p>
      <w:pPr>
        <w:pStyle w:val="BodyText"/>
      </w:pPr>
      <w:r>
        <w:t xml:space="preserve">[5] European Commission. (2023). EU economy projected to grow at 0.5% in 2023 and 1.5% in 2024. Eurostat and DG ECFIN reports.</w:t>
      </w:r>
    </w:p>
    <w:p>
      <w:pPr>
        <w:pStyle w:val="BodyText"/>
      </w:pPr>
      <w:r>
        <w:t xml:space="preserve">[6] International Energy Agency (IEA). (2021). Net Zero by 2050: A Roadmap for the Global Energy Sector. OECD Publishing.</w:t>
      </w:r>
    </w:p>
    <w:p>
      <w:pPr>
        <w:pStyle w:val="BodyText"/>
      </w:pPr>
      <w:r>
        <w:t xml:space="preserve">[7] UNWTO. (2022). World Tourism Barometer. Retrieved from https://www.unwto.org/</w:t>
      </w:r>
    </w:p>
    <w:p>
      <w:pPr>
        <w:pStyle w:val="BodyText"/>
      </w:pPr>
      <w:r>
        <w:t xml:space="preserve">[8] European Court of Auditors. (2021). Renewable energy: significant progress but further acceleration needed to meet EU targets.</w:t>
      </w:r>
    </w:p>
    <w:p>
      <w:r>
        <w:pict>
          <v:rect style="width:0;height:1.5pt" o:hralign="center" o:hrstd="t" o:hr="t"/>
        </w:pict>
      </w:r>
    </w:p>
    <w:bookmarkEnd w:id="79"/>
    <w:bookmarkStart w:id="80" w:name="X38561d0ce256bd6d8979a374c10f7e9b0998452"/>
    <w:p>
      <w:pPr>
        <w:pStyle w:val="Heading2"/>
      </w:pPr>
      <w:r>
        <w:t xml:space="preserve">Appendix A: Dashboard Visualization Mapping</w:t>
      </w:r>
    </w:p>
    <w:p>
      <w:pPr>
        <w:pStyle w:val="FirstParagraph"/>
      </w:pPr>
      <w:r>
        <w:t xml:space="preserve">This report aligns with a 4-page Power BI dashboard structure as follows:</w:t>
      </w:r>
    </w:p>
    <w:p>
      <w:pPr>
        <w:pStyle w:val="BodyText"/>
      </w:pPr>
      <w:r>
        <w:rPr>
          <w:b/>
          <w:bCs/>
        </w:rPr>
        <w:t xml:space="preserve">Page 1 (Macroeconomic Overview)</w:t>
      </w:r>
      <w:r>
        <w:t xml:space="preserve"> </w:t>
      </w:r>
      <w:r>
        <w:t xml:space="preserve">↔ Section 2</w:t>
      </w:r>
      <w:r>
        <w:t xml:space="preserve"> </w:t>
      </w:r>
      <w:r>
        <w:t xml:space="preserve">- KPI: Global average GDP growth, unemployment rate, countries analyzed</w:t>
      </w:r>
      <w:r>
        <w:t xml:space="preserve"> </w:t>
      </w:r>
      <w:r>
        <w:t xml:space="preserve">- Visuals: GDP growth by region (line chart), unemployment vs. GDP per capita (scatter), economic crisis periods highlighted</w:t>
      </w:r>
    </w:p>
    <w:p>
      <w:pPr>
        <w:pStyle w:val="BodyText"/>
      </w:pPr>
      <w:r>
        <w:rPr>
          <w:b/>
          <w:bCs/>
        </w:rPr>
        <w:t xml:space="preserve">Page 2 (Tourism Economics)</w:t>
      </w:r>
      <w:r>
        <w:t xml:space="preserve"> </w:t>
      </w:r>
      <w:r>
        <w:t xml:space="preserve">↔ Section 3</w:t>
      </w:r>
      <w:r>
        <w:t xml:space="preserve"> </w:t>
      </w:r>
      <w:r>
        <w:t xml:space="preserve">- KPI: Global tourism arrivals, tourism GDP contribution %, tourism growth rate</w:t>
      </w:r>
      <w:r>
        <w:t xml:space="preserve"> </w:t>
      </w:r>
      <w:r>
        <w:t xml:space="preserve">- Visuals: Tourism dependency map (choropleth), tourism receipts stacked area, tourism vs. GDP growth (combo chart)</w:t>
      </w:r>
      <w:r>
        <w:t xml:space="preserve"> </w:t>
      </w:r>
      <w:r>
        <w:t xml:space="preserve">- Drill-through: Country-level tourism profiles</w:t>
      </w:r>
    </w:p>
    <w:p>
      <w:pPr>
        <w:pStyle w:val="BodyText"/>
      </w:pPr>
      <w:r>
        <w:rPr>
          <w:b/>
          <w:bCs/>
        </w:rPr>
        <w:t xml:space="preserve">Page 3 (Energy Transition)</w:t>
      </w:r>
      <w:r>
        <w:t xml:space="preserve"> </w:t>
      </w:r>
      <w:r>
        <w:t xml:space="preserve">↔ Section 4</w:t>
      </w:r>
      <w:r>
        <w:t xml:space="preserve"> </w:t>
      </w:r>
      <w:r>
        <w:t xml:space="preserve">- KPI: Global renewable energy share, CO₂ reduction since 2000, energy consumption per capita</w:t>
      </w:r>
      <w:r>
        <w:t xml:space="preserve"> </w:t>
      </w:r>
      <w:r>
        <w:t xml:space="preserve">- Visuals: Renewable leaders ribbon chart, energy mix evolution (100% stacked column), carbon intensity vs. GDP per capita (scatter with animation), renewable transition trajectories (multi-line)</w:t>
      </w:r>
    </w:p>
    <w:p>
      <w:pPr>
        <w:pStyle w:val="BodyText"/>
      </w:pPr>
      <w:r>
        <w:rPr>
          <w:b/>
          <w:bCs/>
        </w:rPr>
        <w:t xml:space="preserve">Page 4 (Integrated Analysis)</w:t>
      </w:r>
      <w:r>
        <w:t xml:space="preserve"> </w:t>
      </w:r>
      <w:r>
        <w:t xml:space="preserve">↔ Section 5</w:t>
      </w:r>
      <w:r>
        <w:t xml:space="preserve"> </w:t>
      </w:r>
      <w:r>
        <w:t xml:space="preserve">- KPI: Tourism-renewable correlation, average renewable change, countries achieving triple win</w:t>
      </w:r>
      <w:r>
        <w:t xml:space="preserve"> </w:t>
      </w:r>
      <w:r>
        <w:t xml:space="preserve">- Visuals: Tourism dependency vs. carbon intensity (scatter), tourism vs. renewable growth (combo), regional profiles (clustered column), countries scorecard (table)</w:t>
      </w:r>
      <w:r>
        <w:t xml:space="preserve"> </w:t>
      </w:r>
      <w:r>
        <w:t xml:space="preserve">- Key insight table identifying policy winners/laggards</w:t>
      </w:r>
    </w:p>
    <w:p>
      <w:pPr>
        <w:pStyle w:val="BodyText"/>
      </w:pPr>
      <w:r>
        <w:rPr>
          <w:b/>
          <w:bCs/>
        </w:rPr>
        <w:t xml:space="preserve">Navigation Elements</w:t>
      </w:r>
      <w:r>
        <w:t xml:space="preserve">:</w:t>
      </w:r>
      <w:r>
        <w:t xml:space="preserve"> </w:t>
      </w:r>
      <w:r>
        <w:t xml:space="preserve">- Common slicers: Country, Year/Period (pre-2008, 2008–2009, 2010–2015, 2015–2020)</w:t>
      </w:r>
      <w:r>
        <w:t xml:space="preserve"> </w:t>
      </w:r>
      <w:r>
        <w:t xml:space="preserve">- Drill-through from regional KPIs to country details</w:t>
      </w:r>
      <w:r>
        <w:t xml:space="preserve"> </w:t>
      </w:r>
      <w:r>
        <w:t xml:space="preserve">- Bookmarks:</w:t>
      </w:r>
      <w:r>
        <w:t xml:space="preserve"> </w:t>
      </w:r>
      <w:r>
        <w:t xml:space="preserve">“</w:t>
      </w:r>
      <w:r>
        <w:t xml:space="preserve">Crisis view</w:t>
      </w:r>
      <w:r>
        <w:t xml:space="preserve">”</w:t>
      </w:r>
      <w:r>
        <w:t xml:space="preserve"> </w:t>
      </w:r>
      <w:r>
        <w:t xml:space="preserve">(2008–2009 focus),</w:t>
      </w:r>
      <w:r>
        <w:t xml:space="preserve"> </w:t>
      </w:r>
      <w:r>
        <w:t xml:space="preserve">“</w:t>
      </w:r>
      <w:r>
        <w:t xml:space="preserve">Recovery view</w:t>
      </w:r>
      <w:r>
        <w:t xml:space="preserve">”</w:t>
      </w:r>
      <w:r>
        <w:t xml:space="preserve"> </w:t>
      </w:r>
      <w:r>
        <w:t xml:space="preserve">(2010–2019),</w:t>
      </w:r>
      <w:r>
        <w:t xml:space="preserve"> </w:t>
      </w:r>
      <w:r>
        <w:t xml:space="preserve">“</w:t>
      </w:r>
      <w:r>
        <w:t xml:space="preserve">COVID view</w:t>
      </w:r>
      <w:r>
        <w:t xml:space="preserve">”</w:t>
      </w:r>
      <w:r>
        <w:t xml:space="preserve"> </w:t>
      </w:r>
      <w:r>
        <w:t xml:space="preserve">(2020 scenario)</w:t>
      </w:r>
    </w:p>
    <w:p>
      <w:r>
        <w:pict>
          <v:rect style="width:0;height:1.5pt" o:hralign="center" o:hrstd="t" o:hr="t"/>
        </w:pict>
      </w:r>
    </w:p>
    <w:p>
      <w:pPr>
        <w:pStyle w:val="FirstParagraph"/>
      </w:pPr>
      <w:r>
        <w:rPr>
          <w:b/>
          <w:bCs/>
        </w:rPr>
        <w:t xml:space="preserve">Document Created</w:t>
      </w:r>
      <w:r>
        <w:t xml:space="preserve">: January 2026</w:t>
      </w:r>
      <w:r>
        <w:t xml:space="preserve"> </w:t>
      </w:r>
      <w:r>
        <w:rPr>
          <w:b/>
          <w:bCs/>
        </w:rPr>
        <w:t xml:space="preserve">Data Period</w:t>
      </w:r>
      <w:r>
        <w:t xml:space="preserve">: 2000–2020</w:t>
      </w:r>
      <w:r>
        <w:t xml:space="preserve"> </w:t>
      </w:r>
      <w:r>
        <w:rPr>
          <w:b/>
          <w:bCs/>
        </w:rPr>
        <w:t xml:space="preserve">Geographic Scope</w:t>
      </w:r>
      <w:r>
        <w:t xml:space="preserve">: 27 EU Member States</w:t>
      </w:r>
      <w:r>
        <w:t xml:space="preserve"> </w:t>
      </w:r>
      <w:r>
        <w:rPr>
          <w:b/>
          <w:bCs/>
        </w:rPr>
        <w:t xml:space="preserve">Suitable for</w:t>
      </w:r>
      <w:r>
        <w:t xml:space="preserve">: GitHub README documentation, LinkedIn article/post, stakeholder presentations, academic portfolio</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2026-01-19T21:36:31Z</dcterms:created>
  <dcterms:modified xsi:type="dcterms:W3CDTF">2026-01-19T21:36:31Z</dcterms:modified>
</cp:coreProperties>
</file>

<file path=docProps/custom.xml><?xml version="1.0" encoding="utf-8"?>
<Properties xmlns="http://schemas.openxmlformats.org/officeDocument/2006/custom-properties" xmlns:vt="http://schemas.openxmlformats.org/officeDocument/2006/docPropsVTypes"/>
</file>