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bCs/>
        </w:rPr>
      </w:pPr>
      <w:bookmarkStart w:id="0" w:name="_GoBack"/>
      <w:bookmarkEnd w:id="0"/>
      <w:r>
        <w:rPr>
          <w:rFonts w:cs="Times New Roman" w:ascii="Times New Roman" w:hAnsi="Times New Roman"/>
          <w:b/>
          <w:bCs/>
        </w:rPr>
        <w:t>Overview of Loading and Boundary Conditions</w:t>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bCs/>
        </w:rPr>
      </w:pPr>
      <w:r>
        <w:rPr>
          <w:rFonts w:cs="Times New Roman" w:ascii="Times New Roman" w:hAnsi="Times New Roman"/>
          <w:b/>
          <w:bCs/>
        </w:rPr>
        <w:t>1.1 General Comments about Loads</w:t>
      </w:r>
    </w:p>
    <w:p>
      <w:pPr>
        <w:pStyle w:val="Normal"/>
        <w:rPr>
          <w:rFonts w:cs="Times New Roman" w:ascii="Times New Roman" w:hAnsi="Times New Roman"/>
          <w:bCs/>
        </w:rPr>
      </w:pPr>
      <w:r>
        <w:rPr>
          <w:rFonts w:cs="Times New Roman" w:ascii="Times New Roman" w:hAnsi="Times New Roman"/>
          <w:bCs/>
        </w:rPr>
        <w:t>External loading can be applied in the following forms:</w:t>
      </w:r>
    </w:p>
    <w:p>
      <w:pPr>
        <w:pStyle w:val="ListParagraph"/>
        <w:numPr>
          <w:ilvl w:val="0"/>
          <w:numId w:val="1"/>
        </w:numPr>
        <w:rPr>
          <w:rFonts w:cs="Times New Roman" w:ascii="Times New Roman" w:hAnsi="Times New Roman"/>
          <w:bCs/>
        </w:rPr>
      </w:pPr>
      <w:r>
        <w:rPr>
          <w:rFonts w:cs="Times New Roman" w:ascii="Times New Roman" w:hAnsi="Times New Roman"/>
          <w:bCs/>
        </w:rPr>
        <w:t>Concentrated or distributed tractions.</w:t>
      </w:r>
    </w:p>
    <w:p>
      <w:pPr>
        <w:pStyle w:val="ListParagraph"/>
        <w:numPr>
          <w:ilvl w:val="0"/>
          <w:numId w:val="1"/>
        </w:numPr>
        <w:rPr>
          <w:rFonts w:cs="Times New Roman" w:ascii="Times New Roman" w:hAnsi="Times New Roman"/>
          <w:bCs/>
        </w:rPr>
      </w:pPr>
      <w:r>
        <w:rPr>
          <w:rFonts w:cs="Times New Roman" w:ascii="Times New Roman" w:hAnsi="Times New Roman"/>
          <w:bCs/>
        </w:rPr>
        <w:t>Concentrated or distributed fluxes.</w:t>
      </w:r>
    </w:p>
    <w:p>
      <w:pPr>
        <w:pStyle w:val="Normal"/>
        <w:rPr>
          <w:rFonts w:cs="Times New Roman" w:ascii="Times New Roman" w:hAnsi="Times New Roman"/>
          <w:bCs/>
        </w:rPr>
      </w:pPr>
      <w:r>
        <w:rPr>
          <w:rFonts w:cs="Times New Roman" w:ascii="Times New Roman" w:hAnsi="Times New Roman"/>
          <w:bCs/>
        </w:rPr>
        <w:t>Many types of distributed loads are provided; they depend on the element type. This section discusses general concepts that apply to all types of loading. In some situations, concentrated loads and some commonly used distributed loads (such as pressure applied on a surface) may rotate during a geometrically nonlinear analysis. Such loads are known as follower loads.</w:t>
      </w:r>
    </w:p>
    <w:p>
      <w:pPr>
        <w:pStyle w:val="Normal"/>
        <w:rPr>
          <w:rFonts w:cs="Times New Roman" w:ascii="Times New Roman" w:hAnsi="Times New Roman"/>
          <w:bCs/>
        </w:rPr>
      </w:pPr>
      <w:r>
        <w:rPr>
          <w:rFonts w:cs="Times New Roman" w:ascii="Times New Roman" w:hAnsi="Times New Roman"/>
          <w:bCs/>
        </w:rPr>
      </w:r>
    </w:p>
    <w:p>
      <w:pPr>
        <w:pStyle w:val="Normal"/>
        <w:rPr>
          <w:rFonts w:cs="Times New Roman" w:ascii="Times New Roman" w:hAnsi="Times New Roman"/>
          <w:b/>
          <w:bCs/>
        </w:rPr>
      </w:pPr>
      <w:r>
        <w:rPr>
          <w:rFonts w:cs="Times New Roman" w:ascii="Times New Roman" w:hAnsi="Times New Roman"/>
          <w:b/>
          <w:bCs/>
        </w:rPr>
        <w:t>1.2 Types of Loads</w:t>
      </w:r>
    </w:p>
    <w:p>
      <w:pPr>
        <w:pStyle w:val="Normal"/>
        <w:rPr>
          <w:rFonts w:cs="Times New Roman" w:ascii="Times New Roman" w:hAnsi="Times New Roman"/>
          <w:bCs/>
        </w:rPr>
      </w:pPr>
      <w:r>
        <w:rPr>
          <w:rFonts w:cs="Times New Roman" w:ascii="Times New Roman" w:hAnsi="Times New Roman"/>
          <w:bCs/>
        </w:rPr>
        <w:t>There are two ways of specifying distributed loads in Abaqus: element-based distributed loads and surface-based distributed loads. Element-based distributed loads can be prescribed on element bodies, element surfaces, or element edges. Surface-based distributed loads can be prescribed on geometric surfaces or geometric edges. In Abaqus/CAE distributed surface and edge loads can be element-based or surface-based, while distributed body loads are prescribed on geometric bodies or element bodies.</w:t>
      </w:r>
    </w:p>
    <w:p>
      <w:pPr>
        <w:pStyle w:val="Normal"/>
        <w:rPr>
          <w:rFonts w:cs="Times New Roman" w:ascii="Times New Roman" w:hAnsi="Times New Roman"/>
          <w:bCs/>
        </w:rPr>
      </w:pPr>
      <w:r>
        <w:rPr>
          <w:rFonts w:cs="Times New Roman" w:ascii="Times New Roman" w:hAnsi="Times New Roman"/>
          <w:bCs/>
        </w:rPr>
      </w:r>
    </w:p>
    <w:p>
      <w:pPr>
        <w:pStyle w:val="Normal"/>
        <w:rPr>
          <w:rFonts w:cs="Times New Roman" w:ascii="Times New Roman" w:hAnsi="Times New Roman"/>
          <w:b/>
          <w:bCs/>
        </w:rPr>
      </w:pPr>
      <w:r>
        <w:rPr>
          <w:rFonts w:cs="Times New Roman" w:ascii="Times New Roman" w:hAnsi="Times New Roman"/>
          <w:b/>
          <w:bCs/>
        </w:rPr>
        <w:t>1.2.1 Element-based Loads</w:t>
      </w:r>
    </w:p>
    <w:p>
      <w:pPr>
        <w:pStyle w:val="Normal"/>
        <w:rPr>
          <w:rFonts w:cs="Times New Roman" w:ascii="Times New Roman" w:hAnsi="Times New Roman"/>
          <w:bCs/>
        </w:rPr>
      </w:pPr>
      <w:r>
        <w:rPr>
          <w:rFonts w:cs="Times New Roman" w:ascii="Times New Roman" w:hAnsi="Times New Roman"/>
          <w:bCs/>
        </w:rPr>
        <w:t>Use element-based loads to define distributed loads on element surfaces, element edges, and element bodies. With element-based loads you must provide the element number (or an element set name) and the distributed load type label. The load type label identifies the type of load and the element face or edge on which the load is prescribed. This method of specifying distributed loads is very general and can be used for all distributed load types and elements.</w:t>
      </w:r>
    </w:p>
    <w:p>
      <w:pPr>
        <w:pStyle w:val="Normal"/>
        <w:rPr>
          <w:rFonts w:cs="Times New Roman" w:ascii="Times New Roman" w:hAnsi="Times New Roman"/>
          <w:bCs/>
        </w:rPr>
      </w:pPr>
      <w:r>
        <w:rPr>
          <w:rFonts w:cs="Times New Roman" w:ascii="Times New Roman" w:hAnsi="Times New Roman"/>
          <w:bCs/>
        </w:rPr>
      </w:r>
    </w:p>
    <w:p>
      <w:pPr>
        <w:pStyle w:val="Normal"/>
        <w:rPr>
          <w:rFonts w:cs="Times New Roman" w:ascii="Times New Roman" w:hAnsi="Times New Roman"/>
          <w:b/>
          <w:bCs/>
        </w:rPr>
      </w:pPr>
      <w:r>
        <w:rPr>
          <w:rFonts w:cs="Times New Roman" w:ascii="Times New Roman" w:hAnsi="Times New Roman"/>
          <w:b/>
          <w:bCs/>
        </w:rPr>
        <w:t>1.2.2 Surface-based Loads</w:t>
      </w:r>
    </w:p>
    <w:p>
      <w:pPr>
        <w:pStyle w:val="Normal"/>
        <w:rPr>
          <w:rFonts w:cs="Times New Roman" w:ascii="Times New Roman" w:hAnsi="Times New Roman"/>
          <w:bCs/>
        </w:rPr>
      </w:pPr>
      <w:r>
        <w:rPr>
          <w:rFonts w:cs="Times New Roman" w:ascii="Times New Roman" w:hAnsi="Times New Roman"/>
          <w:bCs/>
        </w:rPr>
        <w:t>Use surface-based loads to prescribe a distributed load on a geometric surface or geometric edge. With surface-based loads you must specify the surface or edge name and the distributed load type. In Abaqus/CAE surfaces can be defined as collections of geometric faces and edges or collections of element faces and edges.This method of prescribing a distributed load facilitates user input for complex models. It can be used with most element types for which a valid surface can be defined.</w:t>
      </w:r>
    </w:p>
    <w:p>
      <w:pPr>
        <w:pStyle w:val="Normal"/>
        <w:rPr>
          <w:rFonts w:cs="Times New Roman" w:ascii="Times New Roman" w:hAnsi="Times New Roman"/>
          <w:bCs/>
        </w:rPr>
      </w:pPr>
      <w:r>
        <w:rPr>
          <w:rFonts w:cs="Times New Roman" w:ascii="Times New Roman" w:hAnsi="Times New Roman"/>
          <w:bCs/>
        </w:rPr>
      </w:r>
    </w:p>
    <w:p>
      <w:pPr>
        <w:pStyle w:val="Normal"/>
        <w:rPr>
          <w:rFonts w:cs="Times New Roman" w:ascii="Times New Roman" w:hAnsi="Times New Roman"/>
          <w:b/>
          <w:bCs/>
        </w:rPr>
      </w:pPr>
      <w:r>
        <w:rPr>
          <w:rFonts w:cs="Times New Roman" w:ascii="Times New Roman" w:hAnsi="Times New Roman"/>
          <w:b/>
          <w:bCs/>
        </w:rPr>
        <w:t>1.3 Concentrated versus Distributed Loads</w:t>
      </w:r>
    </w:p>
    <w:p>
      <w:pPr>
        <w:pStyle w:val="Normal"/>
        <w:rPr>
          <w:rFonts w:cs="Times New Roman" w:ascii="Times New Roman" w:hAnsi="Times New Roman"/>
          <w:b/>
          <w:bCs/>
        </w:rPr>
      </w:pPr>
      <w:r>
        <w:rPr>
          <w:rFonts w:cs="Times New Roman" w:ascii="Times New Roman" w:hAnsi="Times New Roman"/>
          <w:b/>
          <w:bCs/>
        </w:rPr>
        <w:t>1.3.1 Concentrated Loads</w:t>
      </w:r>
    </w:p>
    <w:p>
      <w:pPr>
        <w:pStyle w:val="Normal"/>
        <w:rPr>
          <w:rFonts w:cs="Times New Roman" w:ascii="Times New Roman" w:hAnsi="Times New Roman"/>
          <w:bCs/>
        </w:rPr>
      </w:pPr>
      <w:r>
        <w:rPr>
          <w:rFonts w:cs="Times New Roman" w:ascii="Times New Roman" w:hAnsi="Times New Roman"/>
          <w:bCs/>
        </w:rPr>
        <w:t>In Abaqus/Standard and Abaqus/Explicit analyses concentrated forces or moments can be applied at any nodal degree of freedom. Concentrated loads:</w:t>
      </w:r>
    </w:p>
    <w:p>
      <w:pPr>
        <w:pStyle w:val="ListParagraph"/>
        <w:numPr>
          <w:ilvl w:val="0"/>
          <w:numId w:val="2"/>
        </w:numPr>
        <w:rPr>
          <w:rFonts w:cs="Times New Roman" w:ascii="Times New Roman" w:hAnsi="Times New Roman"/>
          <w:bCs/>
        </w:rPr>
      </w:pPr>
      <w:r>
        <w:rPr>
          <w:rFonts w:cs="Times New Roman" w:ascii="Times New Roman" w:hAnsi="Times New Roman"/>
          <w:bCs/>
        </w:rPr>
        <w:t>apply concentrated forces and moments to nodal degrees of freedom; and</w:t>
      </w:r>
    </w:p>
    <w:p>
      <w:pPr>
        <w:pStyle w:val="ListParagraph"/>
        <w:numPr>
          <w:ilvl w:val="0"/>
          <w:numId w:val="2"/>
        </w:numPr>
        <w:rPr>
          <w:rFonts w:cs="Times New Roman" w:ascii="Times New Roman" w:hAnsi="Times New Roman"/>
          <w:bCs/>
        </w:rPr>
      </w:pPr>
      <w:r>
        <w:rPr>
          <w:rFonts w:cs="Times New Roman" w:ascii="Times New Roman" w:hAnsi="Times New Roman"/>
          <w:bCs/>
        </w:rPr>
        <w:t>can be fixed in direction; or</w:t>
      </w:r>
    </w:p>
    <w:p>
      <w:pPr>
        <w:pStyle w:val="ListParagraph"/>
        <w:numPr>
          <w:ilvl w:val="0"/>
          <w:numId w:val="2"/>
        </w:numPr>
        <w:rPr>
          <w:rFonts w:cs="Times New Roman" w:ascii="Times New Roman" w:hAnsi="Times New Roman"/>
          <w:bCs/>
        </w:rPr>
      </w:pPr>
      <w:r>
        <w:rPr>
          <w:rFonts w:cs="Times New Roman" w:ascii="Times New Roman" w:hAnsi="Times New Roman"/>
          <w:bCs/>
        </w:rPr>
        <w:t>can rotate as the node rotates (referred to as follower forces), resulting in an additional, and possibly unsymmetric, contribution to the load stiffness.</w:t>
      </w:r>
    </w:p>
    <w:p>
      <w:pPr>
        <w:pStyle w:val="Normal"/>
        <w:rPr>
          <w:rFonts w:cs="Times New Roman" w:ascii="Times New Roman" w:hAnsi="Times New Roman"/>
          <w:bCs/>
        </w:rPr>
      </w:pPr>
      <w:r>
        <w:rPr>
          <w:rFonts w:cs="Times New Roman" w:ascii="Times New Roman" w:hAnsi="Times New Roman"/>
          <w:bCs/>
        </w:rPr>
        <w:t>You can specify that the direction of a concentrated force should rotate with the node to which it is applied. This specification should be used only in large-displacement analysis and can be used only at nodes with active rotational degrees of freedom (such as the nodes of beam and shell elements or, in Abaqus/Explicit, tie nodes on a rigid body), excluding the reference node of generalized plane strain elements. If you specify follower forces, the components of the concentrated force must be specified with respect to the reference configuration.</w:t>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bCs/>
        </w:rPr>
      </w:pPr>
      <w:r>
        <w:rPr>
          <w:rFonts w:cs="Times New Roman" w:ascii="Times New Roman" w:hAnsi="Times New Roman"/>
          <w:b/>
          <w:bCs/>
        </w:rPr>
        <w:t>1.3.2 Distributed Loads</w:t>
      </w:r>
    </w:p>
    <w:p>
      <w:pPr>
        <w:pStyle w:val="Normal"/>
        <w:rPr>
          <w:rFonts w:cs="Times New Roman" w:ascii="Times New Roman" w:hAnsi="Times New Roman"/>
          <w:bCs/>
        </w:rPr>
      </w:pPr>
      <w:r>
        <w:rPr>
          <w:rFonts w:cs="Times New Roman" w:ascii="Times New Roman" w:hAnsi="Times New Roman"/>
          <w:bCs/>
        </w:rPr>
        <w:t>Distributed loads:</w:t>
      </w:r>
    </w:p>
    <w:p>
      <w:pPr>
        <w:pStyle w:val="ListParagraph"/>
        <w:numPr>
          <w:ilvl w:val="0"/>
          <w:numId w:val="3"/>
        </w:numPr>
        <w:rPr>
          <w:rFonts w:cs="Times New Roman" w:ascii="Times New Roman" w:hAnsi="Times New Roman"/>
          <w:bCs/>
        </w:rPr>
      </w:pPr>
      <w:r>
        <w:rPr>
          <w:rFonts w:cs="Times New Roman" w:ascii="Times New Roman" w:hAnsi="Times New Roman"/>
          <w:bCs/>
        </w:rPr>
        <w:t>can be prescribed on element faces, element bodies, or element edges</w:t>
      </w:r>
    </w:p>
    <w:p>
      <w:pPr>
        <w:pStyle w:val="ListParagraph"/>
        <w:numPr>
          <w:ilvl w:val="0"/>
          <w:numId w:val="3"/>
        </w:numPr>
        <w:rPr>
          <w:rFonts w:cs="Times New Roman" w:ascii="Times New Roman" w:hAnsi="Times New Roman"/>
          <w:bCs/>
        </w:rPr>
      </w:pPr>
      <w:r>
        <w:rPr>
          <w:rFonts w:cs="Times New Roman" w:ascii="Times New Roman" w:hAnsi="Times New Roman"/>
          <w:bCs/>
        </w:rPr>
        <w:t>can be prescribed over geometric surfaces or geometric edges</w:t>
      </w:r>
    </w:p>
    <w:p>
      <w:pPr>
        <w:pStyle w:val="ListParagraph"/>
        <w:numPr>
          <w:ilvl w:val="0"/>
          <w:numId w:val="3"/>
        </w:numPr>
        <w:rPr>
          <w:rFonts w:cs="Times New Roman" w:ascii="Times New Roman" w:hAnsi="Times New Roman"/>
          <w:bCs/>
        </w:rPr>
      </w:pPr>
      <w:r>
        <w:rPr>
          <w:rFonts w:cs="Times New Roman" w:ascii="Times New Roman" w:hAnsi="Times New Roman"/>
          <w:bCs/>
        </w:rPr>
        <w:t>require that an appropriate distributed load type be specified</w:t>
      </w:r>
    </w:p>
    <w:p>
      <w:pPr>
        <w:pStyle w:val="ListParagraph"/>
        <w:numPr>
          <w:ilvl w:val="0"/>
          <w:numId w:val="3"/>
        </w:numPr>
        <w:rPr>
          <w:rFonts w:cs="Times New Roman" w:ascii="Times New Roman" w:hAnsi="Times New Roman"/>
          <w:bCs/>
        </w:rPr>
      </w:pPr>
      <w:r>
        <w:rPr>
          <w:rFonts w:cs="Times New Roman" w:ascii="Times New Roman" w:hAnsi="Times New Roman"/>
          <w:bCs/>
        </w:rPr>
        <w:t>may be of follower type, which can rotate during a geometrically nonlinear analysis and result in an additional (often unsymmetric) contribution to the stiffness matrix that is generally referred to as the load stiffness.</w:t>
      </w:r>
    </w:p>
    <w:p>
      <w:pPr>
        <w:pStyle w:val="Normal"/>
        <w:rPr>
          <w:rFonts w:cs="Times New Roman" w:ascii="Times New Roman" w:hAnsi="Times New Roman"/>
          <w:bCs/>
        </w:rPr>
      </w:pPr>
      <w:r>
        <w:rPr>
          <w:rFonts w:cs="Times New Roman" w:ascii="Times New Roman" w:hAnsi="Times New Roman"/>
          <w:bCs/>
        </w:rPr>
      </w:r>
    </w:p>
    <w:p>
      <w:pPr>
        <w:pStyle w:val="Normal"/>
        <w:rPr>
          <w:rFonts w:cs="Times New Roman" w:ascii="Times New Roman" w:hAnsi="Times New Roman"/>
          <w:b/>
          <w:bCs/>
        </w:rPr>
      </w:pPr>
      <w:r>
        <w:rPr>
          <w:rFonts w:cs="Times New Roman" w:ascii="Times New Roman" w:hAnsi="Times New Roman"/>
          <w:b/>
          <w:bCs/>
        </w:rPr>
        <w:t>1.4 Different Types of Loads</w:t>
      </w:r>
    </w:p>
    <w:p>
      <w:pPr>
        <w:pStyle w:val="Normal"/>
        <w:rPr>
          <w:rFonts w:cs="Times New Roman" w:ascii="Times New Roman" w:hAnsi="Times New Roman"/>
          <w:b/>
          <w:bCs/>
        </w:rPr>
      </w:pPr>
      <w:r>
        <w:rPr>
          <w:rFonts w:cs="Times New Roman" w:ascii="Times New Roman" w:hAnsi="Times New Roman"/>
          <w:b/>
          <w:bCs/>
        </w:rPr>
        <w:t>1.4.1 Body Forces</w:t>
      </w:r>
    </w:p>
    <w:p>
      <w:pPr>
        <w:pStyle w:val="Normal"/>
        <w:rPr>
          <w:rFonts w:cs="Times New Roman" w:ascii="Times New Roman" w:hAnsi="Times New Roman"/>
          <w:bCs/>
        </w:rPr>
      </w:pPr>
      <w:r>
        <w:rPr>
          <w:rFonts w:cs="Times New Roman" w:ascii="Times New Roman" w:hAnsi="Times New Roman"/>
          <w:bCs/>
        </w:rPr>
        <w:t>Abaqus allows for definition of body forces. Body loads, such as gravity, centrifugal, Coriolis, and rotary acceleration loads, are applied as element-based loads. The units of a body force are force per unit volume.</w:t>
      </w:r>
    </w:p>
    <w:p>
      <w:pPr>
        <w:pStyle w:val="Normal"/>
        <w:rPr>
          <w:rFonts w:cs="Times New Roman" w:ascii="Times New Roman" w:hAnsi="Times New Roman"/>
          <w:bCs/>
        </w:rPr>
      </w:pPr>
      <w:r>
        <w:rPr>
          <w:rFonts w:cs="Times New Roman" w:ascii="Times New Roman" w:hAnsi="Times New Roman"/>
          <w:bCs/>
        </w:rPr>
      </w:r>
    </w:p>
    <w:p>
      <w:pPr>
        <w:pStyle w:val="Normal"/>
        <w:rPr>
          <w:rFonts w:cs="Times New Roman" w:ascii="Times New Roman" w:hAnsi="Times New Roman"/>
          <w:b/>
          <w:bCs/>
        </w:rPr>
      </w:pPr>
      <w:r>
        <w:rPr>
          <w:rFonts w:cs="Times New Roman" w:ascii="Times New Roman" w:hAnsi="Times New Roman"/>
          <w:b/>
          <w:bCs/>
        </w:rPr>
        <w:t>1.4.2 Surface Traction and Pressure Loads</w:t>
      </w:r>
    </w:p>
    <w:p>
      <w:pPr>
        <w:pStyle w:val="Normal"/>
        <w:rPr>
          <w:rFonts w:cs="Times New Roman" w:ascii="Times New Roman" w:hAnsi="Times New Roman"/>
          <w:bCs/>
        </w:rPr>
      </w:pPr>
      <w:r>
        <w:rPr>
          <w:rFonts w:cs="Times New Roman" w:ascii="Times New Roman" w:hAnsi="Times New Roman"/>
          <w:bCs/>
        </w:rPr>
        <w:t>General or shear surface tractions and pressure loads can be applied in Abaqus as element-based or surface-based distributed loads. The units of these loads are force per unit area. In this case Abaqus allows for general/shear surface tractions, pressure, hydrostatic pressure, viscous pressure, stagnation pressure, hydrostatic internal and external pressures (only for pipe and elbow elements).</w:t>
      </w:r>
    </w:p>
    <w:p>
      <w:pPr>
        <w:pStyle w:val="Normal"/>
        <w:rPr>
          <w:rFonts w:cs="Times New Roman" w:ascii="Times New Roman" w:hAnsi="Times New Roman"/>
          <w:bCs/>
        </w:rPr>
      </w:pPr>
      <w:r>
        <w:rPr>
          <w:rFonts w:cs="Times New Roman" w:ascii="Times New Roman" w:hAnsi="Times New Roman"/>
          <w:bCs/>
        </w:rPr>
      </w:r>
    </w:p>
    <w:p>
      <w:pPr>
        <w:pStyle w:val="Normal"/>
        <w:rPr>
          <w:rFonts w:cs="Times New Roman" w:ascii="Times New Roman" w:hAnsi="Times New Roman"/>
          <w:b/>
          <w:bCs/>
        </w:rPr>
      </w:pPr>
      <w:r>
        <w:rPr>
          <w:rFonts w:cs="Times New Roman" w:ascii="Times New Roman" w:hAnsi="Times New Roman"/>
          <w:b/>
          <w:bCs/>
        </w:rPr>
        <w:t>1.4.3 Thermal Loads</w:t>
      </w:r>
    </w:p>
    <w:p>
      <w:pPr>
        <w:pStyle w:val="Normal"/>
        <w:rPr>
          <w:rFonts w:cs="Times New Roman" w:ascii="Times New Roman" w:hAnsi="Times New Roman"/>
          <w:bCs/>
        </w:rPr>
      </w:pPr>
      <w:r>
        <w:rPr>
          <w:rFonts w:cs="Times New Roman" w:ascii="Times New Roman" w:hAnsi="Times New Roman"/>
          <w:bCs/>
        </w:rPr>
        <w:t>Thermal loads can be applied in heat transfer analysis, in fully coupled temperature-displacement analysis, fully coupled thermal-electrical-structural analysis, and in coupled thermal-electrical analysis. The following types of thermal loads are available:</w:t>
      </w:r>
    </w:p>
    <w:p>
      <w:pPr>
        <w:pStyle w:val="ListParagraph"/>
        <w:numPr>
          <w:ilvl w:val="0"/>
          <w:numId w:val="4"/>
        </w:numPr>
        <w:rPr>
          <w:rFonts w:cs="Times New Roman" w:ascii="Times New Roman" w:hAnsi="Times New Roman"/>
          <w:bCs/>
        </w:rPr>
      </w:pPr>
      <w:r>
        <w:rPr>
          <w:rFonts w:cs="Times New Roman" w:ascii="Times New Roman" w:hAnsi="Times New Roman"/>
          <w:bCs/>
        </w:rPr>
        <w:t>Concentrated heat flux prescribed at nodes.</w:t>
      </w:r>
    </w:p>
    <w:p>
      <w:pPr>
        <w:pStyle w:val="ListParagraph"/>
        <w:numPr>
          <w:ilvl w:val="0"/>
          <w:numId w:val="4"/>
        </w:numPr>
        <w:rPr>
          <w:rFonts w:cs="Times New Roman" w:ascii="Times New Roman" w:hAnsi="Times New Roman"/>
          <w:bCs/>
        </w:rPr>
      </w:pPr>
      <w:r>
        <w:rPr>
          <w:rFonts w:cs="Times New Roman" w:ascii="Times New Roman" w:hAnsi="Times New Roman"/>
          <w:bCs/>
        </w:rPr>
        <w:t>Distributed heat flux prescribed on element faces or surfaces.</w:t>
      </w:r>
    </w:p>
    <w:p>
      <w:pPr>
        <w:pStyle w:val="ListParagraph"/>
        <w:numPr>
          <w:ilvl w:val="0"/>
          <w:numId w:val="4"/>
        </w:numPr>
        <w:rPr>
          <w:rFonts w:cs="Times New Roman" w:ascii="Times New Roman" w:hAnsi="Times New Roman"/>
          <w:bCs/>
        </w:rPr>
      </w:pPr>
      <w:r>
        <w:rPr>
          <w:rFonts w:cs="Times New Roman" w:ascii="Times New Roman" w:hAnsi="Times New Roman"/>
          <w:bCs/>
        </w:rPr>
        <w:t>Body heat flux per unit volume.</w:t>
      </w:r>
    </w:p>
    <w:p>
      <w:pPr>
        <w:pStyle w:val="ListParagraph"/>
        <w:numPr>
          <w:ilvl w:val="0"/>
          <w:numId w:val="4"/>
        </w:numPr>
        <w:rPr>
          <w:rFonts w:cs="Times New Roman" w:ascii="Times New Roman" w:hAnsi="Times New Roman"/>
          <w:bCs/>
        </w:rPr>
      </w:pPr>
      <w:r>
        <w:rPr>
          <w:rFonts w:cs="Times New Roman" w:ascii="Times New Roman" w:hAnsi="Times New Roman"/>
          <w:bCs/>
        </w:rPr>
        <w:t>Boundary convection defined at nodes, on element faces, or on surfaces.</w:t>
      </w:r>
    </w:p>
    <w:p>
      <w:pPr>
        <w:pStyle w:val="ListParagraph"/>
        <w:numPr>
          <w:ilvl w:val="0"/>
          <w:numId w:val="4"/>
        </w:numPr>
        <w:rPr>
          <w:rFonts w:cs="Times New Roman" w:ascii="Times New Roman" w:hAnsi="Times New Roman"/>
          <w:bCs/>
        </w:rPr>
      </w:pPr>
      <w:r>
        <w:rPr>
          <w:rFonts w:cs="Times New Roman" w:ascii="Times New Roman" w:hAnsi="Times New Roman"/>
          <w:bCs/>
        </w:rPr>
        <w:t>Boundary radiation defined at nodes, on element faces, or on surfaces.</w:t>
      </w:r>
    </w:p>
    <w:p>
      <w:pPr>
        <w:pStyle w:val="Normal"/>
        <w:rPr>
          <w:rFonts w:cs="Times New Roman" w:ascii="Times New Roman" w:hAnsi="Times New Roman"/>
          <w:bCs/>
        </w:rPr>
      </w:pPr>
      <w:r>
        <w:rPr>
          <w:rFonts w:cs="Times New Roman" w:ascii="Times New Roman" w:hAnsi="Times New Roman"/>
          <w:bCs/>
        </w:rPr>
      </w:r>
    </w:p>
    <w:p>
      <w:pPr>
        <w:pStyle w:val="Normal"/>
        <w:rPr>
          <w:rFonts w:cs="Times New Roman" w:ascii="Times New Roman" w:hAnsi="Times New Roman"/>
          <w:b/>
          <w:bCs/>
        </w:rPr>
      </w:pPr>
      <w:r>
        <w:rPr>
          <w:rFonts w:cs="Times New Roman" w:ascii="Times New Roman" w:hAnsi="Times New Roman"/>
          <w:b/>
          <w:bCs/>
        </w:rPr>
        <w:t>1.4.4 Electromagnetic Loads</w:t>
      </w:r>
    </w:p>
    <w:p>
      <w:pPr>
        <w:pStyle w:val="Normal"/>
        <w:rPr>
          <w:rFonts w:cs="Times New Roman" w:ascii="Times New Roman" w:hAnsi="Times New Roman"/>
          <w:bCs/>
        </w:rPr>
      </w:pPr>
      <w:r>
        <w:rPr>
          <w:rFonts w:cs="Times New Roman" w:ascii="Times New Roman" w:hAnsi="Times New Roman"/>
          <w:bCs/>
        </w:rPr>
        <w:t>Electromagnetic loads can be applied in Piezoelectric analysis, Coupled thermal-electrical analysis, Fully coupled thermal-electrical-structural analysis, Eddy current analysis, and Magnetostatic analysis. The types of electromagnetic loads available depend on the analysis being performed.</w:t>
      </w:r>
    </w:p>
    <w:p>
      <w:pPr>
        <w:pStyle w:val="Normal"/>
        <w:rPr>
          <w:rFonts w:cs="Times New Roman" w:ascii="Times New Roman" w:hAnsi="Times New Roman"/>
          <w:bCs/>
        </w:rPr>
      </w:pPr>
      <w:r>
        <w:rPr>
          <w:rFonts w:cs="Times New Roman" w:ascii="Times New Roman" w:hAnsi="Times New Roman"/>
          <w:bCs/>
        </w:rPr>
      </w:r>
    </w:p>
    <w:p>
      <w:pPr>
        <w:pStyle w:val="Normal"/>
        <w:rPr>
          <w:rFonts w:cs="Times New Roman" w:ascii="Times New Roman" w:hAnsi="Times New Roman"/>
          <w:b/>
          <w:bCs/>
        </w:rPr>
      </w:pPr>
      <w:r>
        <w:rPr>
          <w:rFonts w:cs="Times New Roman" w:ascii="Times New Roman" w:hAnsi="Times New Roman"/>
          <w:b/>
          <w:bCs/>
        </w:rPr>
        <w:t>1.4.5 Acoustic and Shock Loads</w:t>
      </w:r>
    </w:p>
    <w:p>
      <w:pPr>
        <w:pStyle w:val="Normal"/>
        <w:rPr>
          <w:rFonts w:cs="Times New Roman" w:ascii="Times New Roman" w:hAnsi="Times New Roman"/>
          <w:bCs/>
        </w:rPr>
      </w:pPr>
      <w:r>
        <w:rPr>
          <w:rFonts w:cs="Times New Roman" w:ascii="Times New Roman" w:hAnsi="Times New Roman"/>
          <w:bCs/>
        </w:rPr>
        <w:t>Acoustic loads can be applied only in transient or steady-state dynamic analysis procedures. The following types of acoustic loads are available:</w:t>
      </w:r>
    </w:p>
    <w:p>
      <w:pPr>
        <w:pStyle w:val="ListParagraph"/>
        <w:numPr>
          <w:ilvl w:val="0"/>
          <w:numId w:val="5"/>
        </w:numPr>
        <w:rPr>
          <w:rFonts w:cs="Times New Roman" w:ascii="Times New Roman" w:hAnsi="Times New Roman"/>
          <w:bCs/>
        </w:rPr>
      </w:pPr>
      <w:r>
        <w:rPr>
          <w:rFonts w:cs="Times New Roman" w:ascii="Times New Roman" w:hAnsi="Times New Roman"/>
          <w:bCs/>
        </w:rPr>
        <w:t>Boundary impedance defined on element faces or on surfaces.</w:t>
      </w:r>
    </w:p>
    <w:p>
      <w:pPr>
        <w:pStyle w:val="ListParagraph"/>
        <w:numPr>
          <w:ilvl w:val="0"/>
          <w:numId w:val="5"/>
        </w:numPr>
        <w:rPr>
          <w:rFonts w:cs="Times New Roman" w:ascii="Times New Roman" w:hAnsi="Times New Roman"/>
          <w:bCs/>
        </w:rPr>
      </w:pPr>
      <w:r>
        <w:rPr>
          <w:rFonts w:cs="Times New Roman" w:ascii="Times New Roman" w:hAnsi="Times New Roman"/>
          <w:bCs/>
        </w:rPr>
        <w:t>Nonreflecting radiation boundaries in exterior problems such as a structure vibrating in an acoustic medium of infinite extent.</w:t>
      </w:r>
    </w:p>
    <w:p>
      <w:pPr>
        <w:pStyle w:val="ListParagraph"/>
        <w:numPr>
          <w:ilvl w:val="0"/>
          <w:numId w:val="5"/>
        </w:numPr>
        <w:rPr>
          <w:rFonts w:cs="Times New Roman" w:ascii="Times New Roman" w:hAnsi="Times New Roman"/>
          <w:bCs/>
        </w:rPr>
      </w:pPr>
      <w:r>
        <w:rPr>
          <w:rFonts w:cs="Times New Roman" w:ascii="Times New Roman" w:hAnsi="Times New Roman"/>
          <w:bCs/>
        </w:rPr>
        <w:t>Concentrated pressure-conjugate loads prescribed at acoustic element nodes.</w:t>
      </w:r>
    </w:p>
    <w:p>
      <w:pPr>
        <w:pStyle w:val="ListParagraph"/>
        <w:numPr>
          <w:ilvl w:val="0"/>
          <w:numId w:val="5"/>
        </w:numPr>
        <w:rPr>
          <w:rFonts w:cs="Times New Roman" w:ascii="Times New Roman" w:hAnsi="Times New Roman"/>
          <w:bCs/>
        </w:rPr>
      </w:pPr>
      <w:r>
        <w:rPr>
          <w:rFonts w:cs="Times New Roman" w:ascii="Times New Roman" w:hAnsi="Times New Roman"/>
          <w:bCs/>
        </w:rPr>
        <w:t>Temporally and spatially varying pressure loading on acoustic and solid surfaces due to incident waves traveling through the acoustic medium.</w:t>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bCs/>
        </w:rPr>
      </w:pPr>
      <w:r>
        <w:rPr>
          <w:rFonts w:cs="Times New Roman" w:ascii="Times New Roman" w:hAnsi="Times New Roman"/>
          <w:b/>
          <w:bCs/>
        </w:rPr>
        <w:t>1.4.6 Pore Fluid Flow</w:t>
      </w:r>
    </w:p>
    <w:p>
      <w:pPr>
        <w:pStyle w:val="Normal"/>
        <w:rPr>
          <w:rFonts w:cs="Times New Roman" w:ascii="Times New Roman" w:hAnsi="Times New Roman"/>
          <w:bCs/>
        </w:rPr>
      </w:pPr>
      <w:r>
        <w:rPr>
          <w:rFonts w:cs="Times New Roman" w:ascii="Times New Roman" w:hAnsi="Times New Roman"/>
          <w:bCs/>
        </w:rPr>
        <w:t>Pore fluid flow can be prescribed in coupled pore fluid diffusion/stress and in the geostatic stress field procedure. Pore fluid flow can be prescribed by:</w:t>
      </w:r>
    </w:p>
    <w:p>
      <w:pPr>
        <w:pStyle w:val="ListParagraph"/>
        <w:numPr>
          <w:ilvl w:val="0"/>
          <w:numId w:val="6"/>
        </w:numPr>
        <w:rPr>
          <w:rFonts w:cs="Times New Roman" w:ascii="Times New Roman" w:hAnsi="Times New Roman"/>
          <w:bCs/>
        </w:rPr>
      </w:pPr>
      <w:r>
        <w:rPr>
          <w:rFonts w:cs="Times New Roman" w:ascii="Times New Roman" w:hAnsi="Times New Roman"/>
          <w:bCs/>
        </w:rPr>
        <w:t>defining seepage coefficients and sink pore pressures on element faces or surfaces</w:t>
      </w:r>
    </w:p>
    <w:p>
      <w:pPr>
        <w:pStyle w:val="ListParagraph"/>
        <w:numPr>
          <w:ilvl w:val="0"/>
          <w:numId w:val="6"/>
        </w:numPr>
        <w:rPr>
          <w:rFonts w:cs="Times New Roman" w:ascii="Times New Roman" w:hAnsi="Times New Roman"/>
          <w:bCs/>
        </w:rPr>
      </w:pPr>
      <w:r>
        <w:rPr>
          <w:rFonts w:cs="Times New Roman" w:ascii="Times New Roman" w:hAnsi="Times New Roman"/>
          <w:bCs/>
        </w:rPr>
        <w:t>defining drainage-only seepage coefficients on element faces or surfaces that are applied only when surface pore pressures are positive</w:t>
      </w:r>
    </w:p>
    <w:p>
      <w:pPr>
        <w:pStyle w:val="ListParagraph"/>
        <w:numPr>
          <w:ilvl w:val="0"/>
          <w:numId w:val="6"/>
        </w:numPr>
        <w:rPr>
          <w:rFonts w:cs="Times New Roman" w:ascii="Times New Roman" w:hAnsi="Times New Roman"/>
          <w:bCs/>
        </w:rPr>
      </w:pPr>
      <w:r>
        <w:rPr>
          <w:rFonts w:cs="Times New Roman" w:ascii="Times New Roman" w:hAnsi="Times New Roman"/>
          <w:bCs/>
        </w:rPr>
        <w:t>prescribing an outward normal flow velocity directly at nodes, on element faces, or on surfaces.</w:t>
      </w:r>
    </w:p>
    <w:p>
      <w:pPr>
        <w:pStyle w:val="Normal"/>
        <w:rPr>
          <w:rFonts w:cs="Times New Roman" w:ascii="Times New Roman" w:hAnsi="Times New Roman"/>
          <w:bCs/>
        </w:rPr>
      </w:pPr>
      <w:r>
        <w:rPr>
          <w:rFonts w:cs="Times New Roman" w:ascii="Times New Roman" w:hAnsi="Times New Roman"/>
          <w:bCs/>
        </w:rPr>
      </w:r>
    </w:p>
    <w:p>
      <w:pPr>
        <w:pStyle w:val="Normal"/>
        <w:rPr>
          <w:rFonts w:cs="Times New Roman" w:ascii="Times New Roman" w:hAnsi="Times New Roman"/>
          <w:b/>
          <w:bCs/>
        </w:rPr>
      </w:pPr>
      <w:r>
        <w:rPr>
          <w:rFonts w:cs="Times New Roman" w:ascii="Times New Roman" w:hAnsi="Times New Roman"/>
          <w:b/>
          <w:bCs/>
        </w:rPr>
        <w:t>1.5 Predefined Fields</w:t>
      </w:r>
    </w:p>
    <w:p>
      <w:pPr>
        <w:pStyle w:val="Normal"/>
        <w:rPr>
          <w:rFonts w:cs="Times New Roman" w:ascii="Times New Roman" w:hAnsi="Times New Roman"/>
          <w:bCs/>
        </w:rPr>
      </w:pPr>
      <w:r>
        <w:rPr>
          <w:rFonts w:cs="Times New Roman" w:ascii="Times New Roman" w:hAnsi="Times New Roman"/>
          <w:bCs/>
        </w:rPr>
        <w:t>Abaqus allows for the definitions of the following types of predefined fields during an analysis:</w:t>
      </w:r>
    </w:p>
    <w:p>
      <w:pPr>
        <w:pStyle w:val="ListParagraph"/>
        <w:numPr>
          <w:ilvl w:val="0"/>
          <w:numId w:val="7"/>
        </w:numPr>
        <w:rPr>
          <w:rFonts w:cs="Times New Roman" w:ascii="Times New Roman" w:hAnsi="Times New Roman"/>
          <w:bCs/>
        </w:rPr>
      </w:pPr>
      <w:r>
        <w:rPr>
          <w:rFonts w:cs="Times New Roman" w:ascii="Times New Roman" w:hAnsi="Times New Roman"/>
          <w:bCs/>
        </w:rPr>
        <w:t>temperature</w:t>
      </w:r>
    </w:p>
    <w:p>
      <w:pPr>
        <w:pStyle w:val="ListParagraph"/>
        <w:numPr>
          <w:ilvl w:val="0"/>
          <w:numId w:val="7"/>
        </w:numPr>
        <w:rPr>
          <w:rFonts w:cs="Times New Roman" w:ascii="Times New Roman" w:hAnsi="Times New Roman"/>
          <w:bCs/>
        </w:rPr>
      </w:pPr>
      <w:r>
        <w:rPr>
          <w:rFonts w:cs="Times New Roman" w:ascii="Times New Roman" w:hAnsi="Times New Roman"/>
          <w:bCs/>
        </w:rPr>
        <w:t>field variables</w:t>
      </w:r>
    </w:p>
    <w:p>
      <w:pPr>
        <w:pStyle w:val="ListParagraph"/>
        <w:numPr>
          <w:ilvl w:val="0"/>
          <w:numId w:val="7"/>
        </w:numPr>
        <w:rPr>
          <w:rFonts w:cs="Times New Roman" w:ascii="Times New Roman" w:hAnsi="Times New Roman"/>
          <w:bCs/>
        </w:rPr>
      </w:pPr>
      <w:r>
        <w:rPr>
          <w:rFonts w:cs="Times New Roman" w:ascii="Times New Roman" w:hAnsi="Times New Roman"/>
          <w:bCs/>
        </w:rPr>
        <w:t>equivalent pressure stress</w:t>
      </w:r>
    </w:p>
    <w:p>
      <w:pPr>
        <w:pStyle w:val="ListParagraph"/>
        <w:numPr>
          <w:ilvl w:val="0"/>
          <w:numId w:val="7"/>
        </w:numPr>
        <w:rPr>
          <w:rFonts w:cs="Times New Roman" w:ascii="Times New Roman" w:hAnsi="Times New Roman"/>
          <w:bCs/>
        </w:rPr>
      </w:pPr>
      <w:r>
        <w:rPr>
          <w:rFonts w:cs="Times New Roman" w:ascii="Times New Roman" w:hAnsi="Times New Roman"/>
          <w:bCs/>
        </w:rPr>
        <w:t>mass flow rate</w:t>
      </w:r>
    </w:p>
    <w:p>
      <w:pPr>
        <w:pStyle w:val="Normal"/>
        <w:rPr>
          <w:rFonts w:cs="Times New Roman" w:ascii="Times New Roman" w:hAnsi="Times New Roman"/>
          <w:bCs/>
        </w:rPr>
      </w:pPr>
      <w:r>
        <w:rPr>
          <w:rFonts w:cs="Times New Roman" w:ascii="Times New Roman" w:hAnsi="Times New Roman"/>
          <w:bCs/>
        </w:rPr>
      </w:r>
    </w:p>
    <w:p>
      <w:pPr>
        <w:pStyle w:val="Normal"/>
        <w:rPr>
          <w:rFonts w:cs="Times New Roman" w:ascii="Times New Roman" w:hAnsi="Times New Roman"/>
          <w:bCs/>
        </w:rPr>
      </w:pPr>
      <w:r>
        <w:rPr>
          <w:rFonts w:cs="Times New Roman" w:ascii="Times New Roman" w:hAnsi="Times New Roman"/>
          <w:bCs/>
        </w:rPr>
        <w:t>Temperature, field variables, equivalent pressure stress, and mass flow rate are time-dependent, predefined (not solution-dependent) fields that exist over the spatial domain of the model. They can be defined:</w:t>
      </w:r>
    </w:p>
    <w:p>
      <w:pPr>
        <w:pStyle w:val="ListParagraph"/>
        <w:numPr>
          <w:ilvl w:val="0"/>
          <w:numId w:val="8"/>
        </w:numPr>
        <w:rPr>
          <w:rFonts w:cs="Times New Roman" w:ascii="Times New Roman" w:hAnsi="Times New Roman"/>
          <w:bCs/>
        </w:rPr>
      </w:pPr>
      <w:r>
        <w:rPr>
          <w:rFonts w:cs="Times New Roman" w:ascii="Times New Roman" w:hAnsi="Times New Roman"/>
          <w:bCs/>
        </w:rPr>
        <w:t>by entering the data directly</w:t>
      </w:r>
    </w:p>
    <w:p>
      <w:pPr>
        <w:pStyle w:val="ListParagraph"/>
        <w:numPr>
          <w:ilvl w:val="0"/>
          <w:numId w:val="8"/>
        </w:numPr>
        <w:rPr>
          <w:rFonts w:cs="Times New Roman" w:ascii="Times New Roman" w:hAnsi="Times New Roman"/>
          <w:bCs/>
        </w:rPr>
      </w:pPr>
      <w:r>
        <w:rPr>
          <w:rFonts w:cs="Times New Roman" w:ascii="Times New Roman" w:hAnsi="Times New Roman"/>
          <w:bCs/>
        </w:rPr>
        <w:t>by reading an Abaqus results file generated during a previous analysis (usually an Abaqus/Standard heat transfer analysis)</w:t>
      </w:r>
    </w:p>
    <w:p>
      <w:pPr>
        <w:pStyle w:val="ListParagraph"/>
        <w:numPr>
          <w:ilvl w:val="0"/>
          <w:numId w:val="8"/>
        </w:numPr>
        <w:rPr>
          <w:rFonts w:cs="Times New Roman" w:ascii="Times New Roman" w:hAnsi="Times New Roman"/>
          <w:bCs/>
        </w:rPr>
      </w:pPr>
      <w:r>
        <w:rPr>
          <w:rFonts w:cs="Times New Roman" w:ascii="Times New Roman" w:hAnsi="Times New Roman"/>
          <w:bCs/>
        </w:rPr>
        <w:t>in an Abaqus/Standard user subroutine.</w:t>
      </w:r>
    </w:p>
    <w:p>
      <w:pPr>
        <w:pStyle w:val="Normal"/>
        <w:rPr>
          <w:rFonts w:cs="Times New Roman" w:ascii="Times New Roman" w:hAnsi="Times New Roman"/>
          <w:bCs/>
        </w:rPr>
      </w:pPr>
      <w:r>
        <w:rPr>
          <w:rFonts w:cs="Times New Roman" w:ascii="Times New Roman" w:hAnsi="Times New Roman"/>
          <w:bCs/>
        </w:rPr>
      </w:r>
    </w:p>
    <w:p>
      <w:pPr>
        <w:pStyle w:val="Normal"/>
        <w:rPr>
          <w:rFonts w:cs="Times New Roman" w:ascii="Times New Roman" w:hAnsi="Times New Roman"/>
          <w:bCs/>
        </w:rPr>
      </w:pPr>
      <w:r>
        <w:rPr>
          <w:rFonts w:cs="Times New Roman" w:ascii="Times New Roman" w:hAnsi="Times New Roman"/>
          <w:bCs/>
        </w:rPr>
        <w:t>Temperature can also be defined by reading an Abaqus output database file generated during a previous analysis. In Abaqus/Standard field variables can also be defined by reading an Abaqus output database file generated during a previous analysis.</w:t>
      </w:r>
    </w:p>
    <w:p>
      <w:pPr>
        <w:pStyle w:val="Normal"/>
        <w:rPr>
          <w:rFonts w:cs="Times New Roman" w:ascii="Times New Roman" w:hAnsi="Times New Roman"/>
          <w:bCs/>
        </w:rPr>
      </w:pPr>
      <w:r>
        <w:rPr>
          <w:rFonts w:cs="Times New Roman" w:ascii="Times New Roman" w:hAnsi="Times New Roman"/>
          <w:bCs/>
        </w:rPr>
        <w:t>Field variables can also be made solution dependent, which allows you to introduce additional nonlinearities in the Abaqus material models.</w:t>
      </w:r>
    </w:p>
    <w:p>
      <w:pPr>
        <w:pStyle w:val="Normal"/>
        <w:rPr>
          <w:rFonts w:cs="Times New Roman" w:ascii="Times New Roman" w:hAnsi="Times New Roman"/>
          <w:bCs/>
        </w:rPr>
      </w:pPr>
      <w:r>
        <w:rPr>
          <w:rFonts w:cs="Times New Roman" w:ascii="Times New Roman" w:hAnsi="Times New Roman"/>
          <w:bCs/>
        </w:rPr>
      </w:r>
    </w:p>
    <w:p>
      <w:pPr>
        <w:pStyle w:val="Normal"/>
        <w:rPr>
          <w:rFonts w:cs="Times New Roman" w:ascii="Times New Roman" w:hAnsi="Times New Roman"/>
          <w:b/>
          <w:bCs/>
        </w:rPr>
      </w:pPr>
      <w:r>
        <w:rPr>
          <w:rFonts w:cs="Times New Roman" w:ascii="Times New Roman" w:hAnsi="Times New Roman"/>
          <w:b/>
          <w:bCs/>
        </w:rPr>
        <w:t>2. Boundary Conditions (BCs)</w:t>
      </w:r>
    </w:p>
    <w:p>
      <w:pPr>
        <w:pStyle w:val="Normal"/>
        <w:rPr>
          <w:rFonts w:cs="Times New Roman" w:ascii="Times New Roman" w:hAnsi="Times New Roman"/>
          <w:bCs/>
        </w:rPr>
      </w:pPr>
      <w:r>
        <w:rPr>
          <w:rFonts w:cs="Times New Roman" w:ascii="Times New Roman" w:hAnsi="Times New Roman"/>
          <w:bCs/>
        </w:rPr>
        <w:t>Almost every finite element analysis requires at least a set of boundary conditions. Boundary conditions:</w:t>
      </w:r>
    </w:p>
    <w:p>
      <w:pPr>
        <w:pStyle w:val="ListParagraph"/>
        <w:numPr>
          <w:ilvl w:val="0"/>
          <w:numId w:val="9"/>
        </w:numPr>
        <w:rPr>
          <w:rFonts w:cs="Times New Roman" w:ascii="Times New Roman" w:hAnsi="Times New Roman"/>
          <w:bCs/>
        </w:rPr>
      </w:pPr>
      <w:r>
        <w:rPr>
          <w:rFonts w:cs="Times New Roman" w:ascii="Times New Roman" w:hAnsi="Times New Roman"/>
          <w:bCs/>
        </w:rPr>
        <w:t>can be used to specify the values of all basic solution variables (displacements, rotations, warping amplitude, fluid pressures, pore pressures, temperatures, electrical potentials, normalized concentrations, acoustic pressures, or connector material flow) at nodes</w:t>
      </w:r>
    </w:p>
    <w:p>
      <w:pPr>
        <w:pStyle w:val="ListParagraph"/>
        <w:numPr>
          <w:ilvl w:val="0"/>
          <w:numId w:val="9"/>
        </w:numPr>
        <w:rPr>
          <w:rFonts w:cs="Times New Roman" w:ascii="Times New Roman" w:hAnsi="Times New Roman"/>
          <w:bCs/>
        </w:rPr>
      </w:pPr>
      <w:r>
        <w:rPr>
          <w:rFonts w:cs="Times New Roman" w:ascii="Times New Roman" w:hAnsi="Times New Roman"/>
          <w:bCs/>
        </w:rPr>
        <w:t>can be given as “model” input data (within the initial step in Abaqus/CAE) to define zero-valued boundary conditions</w:t>
      </w:r>
    </w:p>
    <w:p>
      <w:pPr>
        <w:pStyle w:val="ListParagraph"/>
        <w:numPr>
          <w:ilvl w:val="0"/>
          <w:numId w:val="9"/>
        </w:numPr>
        <w:rPr>
          <w:rFonts w:cs="Times New Roman" w:ascii="Times New Roman" w:hAnsi="Times New Roman"/>
          <w:bCs/>
        </w:rPr>
      </w:pPr>
      <w:r>
        <w:rPr>
          <w:rFonts w:cs="Times New Roman" w:ascii="Times New Roman" w:hAnsi="Times New Roman"/>
          <w:bCs/>
        </w:rPr>
        <w:t>can be given as “history” input data (within an analysis step) to add, modify, or remove zero-valued or nonzero boundary conditions</w:t>
      </w:r>
    </w:p>
    <w:p>
      <w:pPr>
        <w:pStyle w:val="ListParagraph"/>
        <w:numPr>
          <w:ilvl w:val="0"/>
          <w:numId w:val="9"/>
        </w:numPr>
        <w:rPr>
          <w:rFonts w:cs="Times New Roman" w:ascii="Times New Roman" w:hAnsi="Times New Roman"/>
          <w:bCs/>
        </w:rPr>
      </w:pPr>
      <w:r>
        <w:rPr>
          <w:rFonts w:cs="Times New Roman" w:ascii="Times New Roman" w:hAnsi="Times New Roman"/>
          <w:bCs/>
        </w:rPr>
        <w:t>can be defined by the user through subroutines DISP for Abaqus/Standard and VDISP for Abaqus/Explicit.</w:t>
      </w:r>
    </w:p>
    <w:p>
      <w:pPr>
        <w:pStyle w:val="Normal"/>
        <w:rPr>
          <w:rFonts w:cs="Times New Roman" w:ascii="Times New Roman" w:hAnsi="Times New Roman"/>
          <w:bCs/>
        </w:rPr>
      </w:pPr>
      <w:r>
        <w:rPr>
          <w:rFonts w:cs="Times New Roman" w:ascii="Times New Roman" w:hAnsi="Times New Roman"/>
          <w:bCs/>
        </w:rPr>
      </w:r>
    </w:p>
    <w:p>
      <w:pPr>
        <w:pStyle w:val="Normal"/>
        <w:rPr>
          <w:rFonts w:cs="Times New Roman" w:ascii="Times New Roman" w:hAnsi="Times New Roman"/>
          <w:b/>
          <w:bCs/>
        </w:rPr>
      </w:pPr>
      <w:r>
        <w:rPr>
          <w:rFonts w:cs="Times New Roman" w:ascii="Times New Roman" w:hAnsi="Times New Roman"/>
          <w:b/>
          <w:bCs/>
        </w:rPr>
        <w:t>2.1 Prescribing BCs as Model Data</w:t>
      </w:r>
    </w:p>
    <w:p>
      <w:pPr>
        <w:pStyle w:val="TextBody"/>
        <w:rPr/>
      </w:pPr>
      <w:r>
        <w:rPr>
          <w:rFonts w:eastAsia="Times New Roman" w:cs="Times New Roman" w:ascii="Times New Roman" w:hAnsi="Times New Roman"/>
          <w:color w:val="00000A"/>
          <w:lang w:eastAsia="en-US" w:bidi="ar-SA"/>
        </w:rPr>
        <w:t>Only zero-valued boundary conditions can be prescribed as model data (i.e., in the initial step in Abaqus/CAE). You can specify the data using either “direct” or “type” format. The “type” format is a way of conveniently specifying common types of boundary conditions in stress/displacement analyses. “Direct” format must be used in all other analysis types. The following boundary condition types are available only in Abaqus:</w:t>
      </w:r>
      <w:r>
        <w:rPr/>
        <w:t xml:space="preserve"> </w:t>
      </w:r>
    </w:p>
    <w:p>
      <w:pPr>
        <w:pStyle w:val="TextBody"/>
        <w:numPr>
          <w:ilvl w:val="0"/>
          <w:numId w:val="10"/>
        </w:numPr>
        <w:rPr>
          <w:rFonts w:eastAsia="Times New Roman" w:cs="Times New Roman" w:ascii="Times New Roman" w:hAnsi="Times New Roman"/>
          <w:color w:val="00000A"/>
          <w:lang w:eastAsia="en-US" w:bidi="ar-SA"/>
        </w:rPr>
      </w:pPr>
      <w:r>
        <w:rPr>
          <w:rFonts w:eastAsia="Times New Roman" w:cs="Times New Roman" w:ascii="Times New Roman" w:hAnsi="Times New Roman"/>
          <w:color w:val="00000A"/>
          <w:lang w:eastAsia="en-US" w:bidi="ar-SA"/>
        </w:rPr>
        <w:t>XSYMM: Symmetry about a plane  (X=constant, degrees of freedom 1,5,6 = 0).</w:t>
      </w:r>
    </w:p>
    <w:p>
      <w:pPr>
        <w:pStyle w:val="TextBody"/>
        <w:numPr>
          <w:ilvl w:val="0"/>
          <w:numId w:val="10"/>
        </w:numPr>
        <w:rPr>
          <w:rFonts w:eastAsia="Times New Roman" w:cs="Times New Roman" w:ascii="Times New Roman" w:hAnsi="Times New Roman"/>
          <w:color w:val="00000A"/>
          <w:lang w:eastAsia="en-US" w:bidi="ar-SA"/>
        </w:rPr>
      </w:pPr>
      <w:r>
        <w:rPr>
          <w:rFonts w:eastAsia="Times New Roman" w:cs="Times New Roman" w:ascii="Times New Roman" w:hAnsi="Times New Roman"/>
          <w:color w:val="00000A"/>
          <w:lang w:eastAsia="en-US" w:bidi="ar-SA"/>
        </w:rPr>
        <w:t>YSYMM: Symmetry about a plane  (X=constant, degrees of freedom 1,5,6 = 0).</w:t>
      </w:r>
    </w:p>
    <w:p>
      <w:pPr>
        <w:pStyle w:val="TextBody"/>
        <w:numPr>
          <w:ilvl w:val="0"/>
          <w:numId w:val="10"/>
        </w:numPr>
        <w:rPr>
          <w:rFonts w:eastAsia="Times New Roman" w:cs="Times New Roman" w:ascii="Times New Roman" w:hAnsi="Times New Roman"/>
          <w:color w:val="00000A"/>
          <w:lang w:eastAsia="en-US" w:bidi="ar-SA"/>
        </w:rPr>
      </w:pPr>
      <w:r>
        <w:rPr>
          <w:rFonts w:eastAsia="Times New Roman" w:cs="Times New Roman" w:ascii="Times New Roman" w:hAnsi="Times New Roman"/>
          <w:color w:val="00000A"/>
          <w:lang w:eastAsia="en-US" w:bidi="ar-SA"/>
        </w:rPr>
        <w:t>ZSYMM: Symmetry about a plane  (Z=constant, degrees of freedom 3,4,5 = 0).</w:t>
      </w:r>
    </w:p>
    <w:p>
      <w:pPr>
        <w:pStyle w:val="TextBody"/>
        <w:numPr>
          <w:ilvl w:val="0"/>
          <w:numId w:val="10"/>
        </w:numPr>
        <w:rPr>
          <w:rFonts w:eastAsia="Times New Roman" w:cs="Times New Roman" w:ascii="Times New Roman" w:hAnsi="Times New Roman"/>
          <w:color w:val="00000A"/>
          <w:lang w:eastAsia="en-US" w:bidi="ar-SA"/>
        </w:rPr>
      </w:pPr>
      <w:r>
        <w:rPr>
          <w:rFonts w:eastAsia="Times New Roman" w:cs="Times New Roman" w:ascii="Times New Roman" w:hAnsi="Times New Roman"/>
          <w:color w:val="00000A"/>
          <w:lang w:eastAsia="en-US" w:bidi="ar-SA"/>
        </w:rPr>
        <w:t>ENCASTRE:</w:t>
        <w:tab/>
        <w:t>Fully built-in (X=constant, degrees of freedom 1,5,6 = 0)</w:t>
      </w:r>
    </w:p>
    <w:p>
      <w:pPr>
        <w:pStyle w:val="TextBody"/>
        <w:numPr>
          <w:ilvl w:val="0"/>
          <w:numId w:val="10"/>
        </w:numPr>
        <w:rPr>
          <w:rFonts w:eastAsia="Times New Roman" w:cs="Times New Roman" w:ascii="Times New Roman" w:hAnsi="Times New Roman"/>
          <w:color w:val="00000A"/>
          <w:lang w:eastAsia="en-US" w:bidi="ar-SA"/>
        </w:rPr>
      </w:pPr>
      <w:r>
        <w:rPr>
          <w:rFonts w:eastAsia="Times New Roman" w:cs="Times New Roman" w:ascii="Times New Roman" w:hAnsi="Times New Roman"/>
          <w:color w:val="00000A"/>
          <w:lang w:eastAsia="en-US" w:bidi="ar-SA"/>
        </w:rPr>
        <w:t>PINNED: Pinned (degrees of freedom 1,2,3,4,5,6 = 0)</w:t>
      </w:r>
    </w:p>
    <w:p>
      <w:pPr>
        <w:pStyle w:val="TextBody"/>
        <w:numPr>
          <w:ilvl w:val="0"/>
          <w:numId w:val="10"/>
        </w:numPr>
        <w:rPr>
          <w:rFonts w:eastAsia="Times New Roman" w:cs="Times New Roman" w:ascii="Times New Roman" w:hAnsi="Times New Roman"/>
          <w:color w:val="00000A"/>
          <w:lang w:eastAsia="en-US" w:bidi="ar-SA"/>
        </w:rPr>
      </w:pPr>
      <w:r>
        <w:rPr>
          <w:rFonts w:eastAsia="Times New Roman" w:cs="Times New Roman" w:ascii="Times New Roman" w:hAnsi="Times New Roman"/>
          <w:color w:val="00000A"/>
          <w:lang w:eastAsia="en-US" w:bidi="ar-SA"/>
        </w:rPr>
        <w:t>XASYMM: Antisymmetry about a plane with  (X=constant, degrees of freedom 2,3,4 = 0)</w:t>
      </w:r>
    </w:p>
    <w:p>
      <w:pPr>
        <w:pStyle w:val="TextBody"/>
        <w:numPr>
          <w:ilvl w:val="0"/>
          <w:numId w:val="10"/>
        </w:numPr>
        <w:rPr>
          <w:rFonts w:eastAsia="Times New Roman" w:cs="Times New Roman" w:ascii="Times New Roman" w:hAnsi="Times New Roman"/>
          <w:color w:val="00000A"/>
          <w:lang w:eastAsia="en-US" w:bidi="ar-SA"/>
        </w:rPr>
      </w:pPr>
      <w:r>
        <w:rPr>
          <w:rFonts w:eastAsia="Times New Roman" w:cs="Times New Roman" w:ascii="Times New Roman" w:hAnsi="Times New Roman"/>
          <w:color w:val="00000A"/>
          <w:lang w:eastAsia="en-US" w:bidi="ar-SA"/>
        </w:rPr>
        <w:t>YASYMM: Antisymmetry about a plane with  (Y=constant, degrees of freedom 1,3,5 = 0)</w:t>
      </w:r>
    </w:p>
    <w:p>
      <w:pPr>
        <w:pStyle w:val="TextBody"/>
        <w:numPr>
          <w:ilvl w:val="0"/>
          <w:numId w:val="10"/>
        </w:numPr>
        <w:rPr>
          <w:rFonts w:eastAsia="Times New Roman" w:cs="Times New Roman" w:ascii="Times New Roman" w:hAnsi="Times New Roman"/>
          <w:color w:val="00000A"/>
          <w:lang w:eastAsia="en-US" w:bidi="ar-SA"/>
        </w:rPr>
      </w:pPr>
      <w:r>
        <w:rPr>
          <w:rFonts w:eastAsia="Times New Roman" w:cs="Times New Roman" w:ascii="Times New Roman" w:hAnsi="Times New Roman"/>
          <w:color w:val="00000A"/>
          <w:lang w:eastAsia="en-US" w:bidi="ar-SA"/>
        </w:rPr>
        <w:t>ZASYMM: Antisymmetry about a plane with  (Z=constant, degrees of freedom 1,2,6 = 0)</w:t>
      </w:r>
    </w:p>
    <w:p>
      <w:pPr>
        <w:pStyle w:val="TextBody"/>
        <w:rPr>
          <w:rFonts w:eastAsia="Times New Roman" w:cs="Times New Roman" w:ascii="Times New Roman" w:hAnsi="Times New Roman"/>
          <w:color w:val="00000A"/>
          <w:lang w:eastAsia="en-US" w:bidi="ar-SA"/>
        </w:rPr>
      </w:pPr>
      <w:r>
        <w:rPr>
          <w:rFonts w:eastAsia="Times New Roman" w:cs="Times New Roman" w:ascii="Times New Roman" w:hAnsi="Times New Roman"/>
          <w:color w:val="00000A"/>
          <w:lang w:eastAsia="en-US" w:bidi="ar-SA"/>
        </w:rPr>
        <w:t>For both “direct” and “type” format you specify the region of the model to which the boundary conditions apply and the degrees of freedom to be restrained. Boundary conditions prescribed as model data can be modified or removed during analysis steps.</w:t>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bCs/>
        </w:rPr>
      </w:pPr>
      <w:r>
        <w:rPr>
          <w:rFonts w:cs="Times New Roman" w:ascii="Times New Roman" w:hAnsi="Times New Roman"/>
          <w:b/>
          <w:bCs/>
        </w:rPr>
        <w:t>2.2 Prescribing BCs as History Data</w:t>
      </w:r>
    </w:p>
    <w:p>
      <w:pPr>
        <w:pStyle w:val="Normal"/>
        <w:rPr>
          <w:rFonts w:cs="Times New Roman" w:ascii="Times New Roman" w:hAnsi="Times New Roman"/>
          <w:bCs/>
        </w:rPr>
      </w:pPr>
      <w:r>
        <w:rPr>
          <w:rFonts w:cs="Times New Roman" w:ascii="Times New Roman" w:hAnsi="Times New Roman"/>
          <w:bCs/>
        </w:rPr>
        <w:t>Boundary conditions can be prescribed within an analysis step using either “direct” or “type” format. As with model data boundary conditions, the “type” format can be used only in stress/displacement analyses; whereas, the “direct” format can be used in analysis types. When using the “direct” format, boundary conditions can be defined as the total value of a variable or, in a stress/displacement analysis, as the value of a variable's velocity or acceleration. As many boundary conditions as necessary can be defined in a step.</w:t>
      </w:r>
    </w:p>
    <w:p>
      <w:pPr>
        <w:pStyle w:val="TextBody"/>
        <w:rPr>
          <w:rFonts w:eastAsia="Times New Roman" w:cs="Times New Roman" w:ascii="Times New Roman" w:hAnsi="Times New Roman"/>
          <w:b/>
          <w:color w:val="00000A"/>
          <w:lang w:eastAsia="en-US" w:bidi="ar-SA"/>
        </w:rPr>
      </w:pPr>
      <w:r>
        <w:rPr>
          <w:rFonts w:eastAsia="Times New Roman" w:cs="Times New Roman" w:ascii="Times New Roman" w:hAnsi="Times New Roman"/>
          <w:b/>
          <w:color w:val="00000A"/>
          <w:lang w:eastAsia="en-US" w:bidi="ar-SA"/>
        </w:rPr>
      </w:r>
    </w:p>
    <w:p>
      <w:pPr>
        <w:pStyle w:val="TextBody"/>
        <w:rPr>
          <w:rFonts w:eastAsia="Times New Roman" w:cs="Times New Roman" w:ascii="Times New Roman" w:hAnsi="Times New Roman"/>
          <w:b/>
          <w:color w:val="00000A"/>
          <w:lang w:eastAsia="en-US" w:bidi="ar-SA"/>
        </w:rPr>
      </w:pPr>
      <w:r>
        <w:rPr>
          <w:rFonts w:eastAsia="Times New Roman" w:cs="Times New Roman" w:ascii="Times New Roman" w:hAnsi="Times New Roman"/>
          <w:b/>
          <w:color w:val="00000A"/>
          <w:lang w:eastAsia="en-US" w:bidi="ar-SA"/>
        </w:rPr>
        <w:t xml:space="preserve">2.3 Boundary </w:t>
      </w:r>
      <w:r>
        <w:rPr>
          <w:rFonts w:eastAsia="Times New Roman" w:cs="Times New Roman" w:ascii="Times New Roman" w:hAnsi="Times New Roman"/>
          <w:b/>
          <w:color w:val="00000A"/>
          <w:lang w:eastAsia="en-US" w:bidi="ar-SA"/>
        </w:rPr>
        <w:t>C</w:t>
      </w:r>
      <w:r>
        <w:rPr>
          <w:rFonts w:eastAsia="Times New Roman" w:cs="Times New Roman" w:ascii="Times New Roman" w:hAnsi="Times New Roman"/>
          <w:b/>
          <w:color w:val="00000A"/>
          <w:lang w:eastAsia="en-US" w:bidi="ar-SA"/>
        </w:rPr>
        <w:t xml:space="preserve">ondition </w:t>
      </w:r>
      <w:r>
        <w:rPr>
          <w:rFonts w:eastAsia="Times New Roman" w:cs="Times New Roman" w:ascii="Times New Roman" w:hAnsi="Times New Roman"/>
          <w:b/>
          <w:color w:val="00000A"/>
          <w:lang w:eastAsia="en-US" w:bidi="ar-SA"/>
        </w:rPr>
        <w:t>P</w:t>
      </w:r>
      <w:r>
        <w:rPr>
          <w:rFonts w:eastAsia="Times New Roman" w:cs="Times New Roman" w:ascii="Times New Roman" w:hAnsi="Times New Roman"/>
          <w:b/>
          <w:color w:val="00000A"/>
          <w:lang w:eastAsia="en-US" w:bidi="ar-SA"/>
        </w:rPr>
        <w:t>ropagation</w:t>
      </w:r>
    </w:p>
    <w:p>
      <w:pPr>
        <w:pStyle w:val="TextBody"/>
        <w:rPr>
          <w:rFonts w:eastAsia="Times New Roman" w:cs="Times New Roman" w:ascii="Times New Roman" w:hAnsi="Times New Roman"/>
          <w:color w:val="00000A"/>
          <w:lang w:eastAsia="en-US" w:bidi="ar-SA"/>
        </w:rPr>
      </w:pPr>
      <w:r>
        <w:rPr>
          <w:rFonts w:eastAsia="Times New Roman" w:cs="Times New Roman" w:ascii="Times New Roman" w:hAnsi="Times New Roman"/>
          <w:color w:val="00000A"/>
          <w:lang w:eastAsia="en-US" w:bidi="ar-SA"/>
        </w:rPr>
        <w:t>By default, all boundary conditions defined in the previous general analysis step remain unchanged in the subsequent general step or in subsequent consecutive linear perturbation steps. Boundary conditions do not propagate between linear perturbation steps. You define the boundary conditions in effect for a given step relative to the preexisting boundary conditions. At each new step the existing boundary conditions can be modified and additional boundary conditions can be specified. Alternatively, you can release all previously applied boundary conditions in a step and specify new ones. In this case any boundary conditions that are to be retained must be respecified.</w:t>
      </w:r>
    </w:p>
    <w:p>
      <w:pPr>
        <w:pStyle w:val="TextBody"/>
        <w:rPr>
          <w:rFonts w:eastAsia="Times New Roman" w:cs="Times New Roman" w:ascii="Times New Roman" w:hAnsi="Times New Roman"/>
          <w:b/>
          <w:color w:val="00000A"/>
          <w:lang w:eastAsia="en-US" w:bidi="ar-SA"/>
        </w:rPr>
      </w:pPr>
      <w:r>
        <w:rPr>
          <w:rFonts w:eastAsia="Times New Roman" w:cs="Times New Roman" w:ascii="Times New Roman" w:hAnsi="Times New Roman"/>
          <w:b/>
          <w:color w:val="00000A"/>
          <w:lang w:eastAsia="en-US" w:bidi="ar-SA"/>
        </w:rPr>
        <w:t>3. References:</w:t>
      </w:r>
    </w:p>
    <w:p>
      <w:pPr>
        <w:pStyle w:val="TextBody"/>
        <w:rPr>
          <w:rFonts w:eastAsia="Times New Roman" w:cs="Times New Roman" w:ascii="Times New Roman" w:hAnsi="Times New Roman"/>
          <w:color w:val="00000A"/>
          <w:lang w:eastAsia="en-US" w:bidi="ar-SA"/>
        </w:rPr>
      </w:pPr>
      <w:r>
        <w:rPr>
          <w:rFonts w:eastAsia="Times New Roman" w:cs="Times New Roman" w:ascii="Times New Roman" w:hAnsi="Times New Roman"/>
          <w:color w:val="00000A"/>
          <w:lang w:eastAsia="en-US" w:bidi="ar-SA"/>
        </w:rPr>
        <w:t>[1] Abaqus 6.13 Documentation</w:t>
      </w:r>
    </w:p>
    <w:p>
      <w:pPr>
        <w:pStyle w:val="Footer"/>
        <w:pBdr>
          <w:top w:val="nil"/>
          <w:left w:val="nil"/>
          <w:bottom w:val="nil"/>
          <w:right w:val="nil"/>
        </w:pBdr>
        <w:rPr/>
      </w:pPr>
      <w:r>
        <w:rPr/>
      </w:r>
    </w:p>
    <w:sectPr>
      <w:footerReference w:type="default" r:id="rId2"/>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ucida Grande">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yle="position:absolute;width:6.05pt;height:13.8pt;mso-wrap-distance-left:-0.05pt;mso-wrap-distance-right:-0.05pt;mso-wrap-distance-top:0pt;mso-wrap-distance-bottom:0pt;margin-top:0.05pt;margin-left:246.3pt">
          <v:fill opacity="0f"/>
          <v:textbox inset="0in,0in,0in,0in">
            <w:txbxContent>
              <w:p>
                <w:pPr>
                  <w:pStyle w:val="Footer"/>
                  <w:pBdr>
                    <w:top w:val="nil"/>
                    <w:left w:val="nil"/>
                    <w:bottom w:val="nil"/>
                    <w:right w:val="nil"/>
                  </w:pBdr>
                  <w:rPr>
                    <w:rStyle w:val="Pagenumber"/>
                  </w:rPr>
                </w:pPr>
                <w:r>
                  <w:rPr>
                    <w:rStyle w:val="Pagenumber"/>
                  </w:rPr>
                  <w:fldChar w:fldCharType="begin"/>
                </w:r>
                <w:r>
                  <w:instrText> PAGE </w:instrText>
                </w:r>
                <w:r>
                  <w:fldChar w:fldCharType="separate"/>
                </w:r>
                <w:r>
                  <w:t>4</w:t>
                </w:r>
                <w:r>
                  <w:fldChar w:fldCharType="end"/>
                </w:r>
              </w:p>
            </w:txbxContent>
          </v:textbox>
          <w10:wrap type="square" side="largest"/>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Bullets" w:customStyle="1">
    <w:name w:val="Bullets"/>
    <w:rPr>
      <w:rFonts w:ascii="OpenSymbol" w:hAnsi="OpenSymbol" w:eastAsia="OpenSymbol" w:cs="OpenSymbol"/>
    </w:rPr>
  </w:style>
  <w:style w:type="character" w:styleId="ListLabel1" w:customStyle="1">
    <w:name w:val="ListLabel 1"/>
    <w:rPr>
      <w:rFonts w:cs="Symbol"/>
    </w:rPr>
  </w:style>
  <w:style w:type="character" w:styleId="ListLabel2" w:customStyle="1">
    <w:name w:val="ListLabel 2"/>
    <w:rPr>
      <w:rFonts w:cs="OpenSymbol"/>
    </w:rPr>
  </w:style>
  <w:style w:type="character" w:styleId="BalloonTextChar" w:customStyle="1">
    <w:name w:val="Balloon Text Char"/>
    <w:uiPriority w:val="99"/>
    <w:semiHidden/>
    <w:link w:val="BalloonText"/>
    <w:rsid w:val="0057669c"/>
    <w:basedOn w:val="DefaultParagraphFont"/>
    <w:rPr>
      <w:rFonts w:ascii="Lucida Grande" w:hAnsi="Lucida Grande" w:cs="Lucida Grande"/>
      <w:color w:val="00000A"/>
      <w:sz w:val="18"/>
      <w:szCs w:val="18"/>
    </w:rPr>
  </w:style>
  <w:style w:type="character" w:styleId="Appleconvertedspace" w:customStyle="1">
    <w:name w:val="apple-converted-space"/>
    <w:rsid w:val="0057669c"/>
    <w:basedOn w:val="DefaultParagraphFont"/>
    <w:rPr/>
  </w:style>
  <w:style w:type="character" w:styleId="Guitext" w:customStyle="1">
    <w:name w:val="guitext"/>
    <w:rsid w:val="0057669c"/>
    <w:basedOn w:val="DefaultParagraphFont"/>
    <w:rPr/>
  </w:style>
  <w:style w:type="character" w:styleId="FooterChar" w:customStyle="1">
    <w:name w:val="Footer Char"/>
    <w:uiPriority w:val="99"/>
    <w:link w:val="Footer"/>
    <w:rsid w:val="00d34c0b"/>
    <w:basedOn w:val="DefaultParagraphFont"/>
    <w:rPr>
      <w:color w:val="00000A"/>
    </w:rPr>
  </w:style>
  <w:style w:type="character" w:styleId="Pagenumber">
    <w:name w:val="page number"/>
    <w:uiPriority w:val="99"/>
    <w:semiHidden/>
    <w:unhideWhenUsed/>
    <w:rsid w:val="00d34c0b"/>
    <w:basedOn w:val="DefaultParagraphFont"/>
    <w:rPr/>
  </w:style>
  <w:style w:type="character" w:styleId="HeaderChar" w:customStyle="1">
    <w:name w:val="Header Char"/>
    <w:uiPriority w:val="99"/>
    <w:link w:val="Header"/>
    <w:rsid w:val="00d34c0b"/>
    <w:basedOn w:val="DefaultParagraphFont"/>
    <w:rPr>
      <w:color w:val="00000A"/>
    </w:rPr>
  </w:style>
  <w:style w:type="character" w:styleId="InternetLink">
    <w:name w:val="Internet Link"/>
    <w:uiPriority w:val="99"/>
    <w:semiHidden/>
    <w:unhideWhenUsed/>
    <w:rsid w:val="007610da"/>
    <w:basedOn w:val="DefaultParagraphFont"/>
    <w:rPr>
      <w:color w:val="0000FF"/>
      <w:u w:val="single"/>
      <w:lang w:val="zxx" w:eastAsia="zxx" w:bidi="zxx"/>
    </w:rPr>
  </w:style>
  <w:style w:type="character" w:styleId="Gentxttimes" w:customStyle="1">
    <w:name w:val="gentxt_times"/>
    <w:rsid w:val="007610da"/>
    <w:basedOn w:val="DefaultParagraphFont"/>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sz w:val="20"/>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TableContents" w:customStyle="1">
    <w:name w:val="Table Contents"/>
    <w:basedOn w:val="Normal"/>
    <w:pPr>
      <w:suppressLineNumbers/>
    </w:pPr>
    <w:rPr/>
  </w:style>
  <w:style w:type="paragraph" w:styleId="BalloonText">
    <w:name w:val="Balloon Text"/>
    <w:uiPriority w:val="99"/>
    <w:semiHidden/>
    <w:unhideWhenUsed/>
    <w:link w:val="BalloonTextChar"/>
    <w:rsid w:val="0057669c"/>
    <w:basedOn w:val="Normal"/>
    <w:pPr/>
    <w:rPr>
      <w:rFonts w:ascii="Lucida Grande" w:hAnsi="Lucida Grande" w:cs="Lucida Grande"/>
      <w:sz w:val="18"/>
      <w:szCs w:val="18"/>
    </w:rPr>
  </w:style>
  <w:style w:type="paragraph" w:styleId="ListParagraph">
    <w:name w:val="List Paragraph"/>
    <w:uiPriority w:val="34"/>
    <w:qFormat/>
    <w:rsid w:val="0057669c"/>
    <w:basedOn w:val="Normal"/>
    <w:pPr>
      <w:spacing w:before="0" w:after="0"/>
      <w:ind w:left="720" w:right="0" w:hanging="0"/>
      <w:contextualSpacing/>
    </w:pPr>
    <w:rPr/>
  </w:style>
  <w:style w:type="paragraph" w:styleId="NormalWeb">
    <w:name w:val="Normal (Web)"/>
    <w:uiPriority w:val="99"/>
    <w:semiHidden/>
    <w:unhideWhenUsed/>
    <w:rsid w:val="00bd1459"/>
    <w:basedOn w:val="Normal"/>
    <w:pPr>
      <w:spacing w:before="0" w:after="280"/>
    </w:pPr>
    <w:rPr>
      <w:rFonts w:ascii="Times" w:hAnsi="Times" w:cs="Times New Roman"/>
      <w:color w:val="00000A"/>
      <w:sz w:val="20"/>
      <w:szCs w:val="20"/>
      <w:lang w:eastAsia="en-US" w:bidi="ar-SA"/>
    </w:rPr>
  </w:style>
  <w:style w:type="paragraph" w:styleId="Footer">
    <w:name w:val="Footer"/>
    <w:uiPriority w:val="99"/>
    <w:unhideWhenUsed/>
    <w:link w:val="FooterChar"/>
    <w:rsid w:val="00d34c0b"/>
    <w:basedOn w:val="Normal"/>
    <w:pPr>
      <w:tabs>
        <w:tab w:val="center" w:pos="4320" w:leader="none"/>
        <w:tab w:val="right" w:pos="8640" w:leader="none"/>
      </w:tabs>
    </w:pPr>
    <w:rPr/>
  </w:style>
  <w:style w:type="paragraph" w:styleId="Header">
    <w:name w:val="Header"/>
    <w:uiPriority w:val="99"/>
    <w:unhideWhenUsed/>
    <w:link w:val="HeaderChar"/>
    <w:rsid w:val="00d34c0b"/>
    <w:basedOn w:val="Normal"/>
    <w:pPr>
      <w:tabs>
        <w:tab w:val="center" w:pos="4320" w:leader="none"/>
        <w:tab w:val="right" w:pos="8640" w:leader="none"/>
      </w:tabs>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57669c"/>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2015-10-31T18:39:00Z</dcterms:created>
  <dc:creator>masoud </dc:creator>
  <dc:language>en-US</dc:language>
  <cp:lastModifiedBy>Masoud Safdari</cp:lastModifiedBy>
  <dcterms:modified xsi:type="dcterms:W3CDTF">2015-11-01T04:33:00Z</dcterms:modified>
  <cp:revision>25</cp:revision>
</cp:coreProperties>
</file>