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color w:val="2f5395" w:themeColor="accent1" w:themeShade="bf"/>
        </w:rPr>
      </w:pPr>
    </w:p>
    <w:p w14:paraId="00000002">
      <w:pPr>
        <w:rPr>
          <w:color w:val="2f5395" w:themeColor="accent1" w:themeShade="bf"/>
          <w:sz w:val="22"/>
          <w:szCs w:val="22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lang w:val="en-US"/>
        </w:rPr>
        <w:t>Entity:</w:t>
      </w:r>
      <w:r>
        <w:rPr>
          <w:b/>
          <w:bCs/>
          <w:color w:val="2f5395" w:themeColor="accent1" w:themeShade="bf"/>
          <w:sz w:val="22"/>
          <w:szCs w:val="22"/>
          <w:lang w:val="en-US"/>
        </w:rPr>
        <w:t xml:space="preserve"> </w:t>
      </w:r>
      <w:r>
        <w:rPr>
          <w:color w:val="2f5395" w:themeColor="accent1" w:themeShade="bf"/>
          <w:sz w:val="22"/>
          <w:szCs w:val="22"/>
          <w:lang w:val="en-US"/>
        </w:rPr>
        <w:t>Connect Travel LLC</w:t>
      </w:r>
    </w:p>
    <w:p w14:paraId="00000003">
      <w:pPr>
        <w:rPr>
          <w:color w:val="2f5395" w:themeColor="accent1" w:themeShade="bf"/>
          <w:sz w:val="22"/>
          <w:szCs w:val="22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lang w:val="en-US"/>
        </w:rPr>
        <w:t>Subject:</w:t>
      </w:r>
      <w:r>
        <w:rPr>
          <w:color w:val="2f5395" w:themeColor="accent1" w:themeShade="bf"/>
          <w:sz w:val="28"/>
          <w:szCs w:val="28"/>
          <w:lang w:val="en-US"/>
        </w:rPr>
        <w:t xml:space="preserve"> </w:t>
      </w:r>
      <w:r>
        <w:rPr>
          <w:color w:val="2f5395" w:themeColor="accent1" w:themeShade="bf"/>
          <w:sz w:val="22"/>
          <w:szCs w:val="22"/>
          <w:lang w:val="en-US"/>
        </w:rPr>
        <w:t>Ride-Share Operations, Liability Coverage, and Facility Policy Adherence</w:t>
      </w:r>
    </w:p>
    <w:p w14:paraId="00000004">
      <w:pPr>
        <w:rPr>
          <w:color w:val="2f5395" w:themeColor="accent1" w:themeShade="bf"/>
          <w:sz w:val="22"/>
          <w:szCs w:val="22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lang w:val="en-US"/>
        </w:rPr>
        <w:t>Attn:</w:t>
      </w:r>
      <w:r>
        <w:rPr>
          <w:color w:val="2f5395" w:themeColor="accent1" w:themeShade="bf"/>
          <w:sz w:val="22"/>
          <w:szCs w:val="22"/>
          <w:lang w:val="en-US"/>
        </w:rPr>
        <w:t xml:space="preserve"> Prison Administration Staff &amp; DOCCS Facility Management</w:t>
      </w:r>
    </w:p>
    <w:p w14:paraId="00000005">
      <w:pPr>
        <w:rPr>
          <w:color w:val="2f5395" w:themeColor="accent1" w:themeShade="bf"/>
          <w:sz w:val="22"/>
          <w:szCs w:val="22"/>
        </w:rPr>
      </w:pPr>
    </w:p>
    <w:p w14:paraId="00000006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To the Administration and Department of Corrections Staff:</w:t>
      </w:r>
    </w:p>
    <w:p w14:paraId="00000007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The purpose of this document is to introduce the Connect Travel community ride-share platform, outline</w:t>
      </w:r>
    </w:p>
    <w:p w14:paraId="00000008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our strict operational guidelines, and provide absolute assurances regarding our liability coverages and</w:t>
      </w:r>
    </w:p>
    <w:p w14:paraId="00000009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adherence to facility protocols. Connect Travel respectfully requests permission to make our services</w:t>
      </w:r>
    </w:p>
    <w:p w14:paraId="0000000A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known to visiting families by posting our community memorandum within your visitation lobby.</w:t>
      </w:r>
    </w:p>
    <w:p w14:paraId="0000000B">
      <w:pP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  <w:t>1. Comprehensive Liability and Insurance Coverage</w:t>
      </w:r>
    </w:p>
    <w:p w14:paraId="0000000C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Connect Travel operates with a primary focus on passenger, community, and facility safety. To ensure full</w:t>
      </w:r>
    </w:p>
    <w:p w14:paraId="0000000D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protection and risk mitigation, our platform maintains an active $1,000,000 per incident Commercial</w:t>
      </w:r>
    </w:p>
    <w:p w14:paraId="0000000E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General Liability (CGL) coverage, alongside comprehensive Personal, Bodily Injury, and Courier</w:t>
      </w:r>
    </w:p>
    <w:p w14:paraId="0000000F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Insurance. This coverage extends fully to all passengers and drivers actively utilizing the platform for</w:t>
      </w:r>
    </w:p>
    <w:p w14:paraId="00000010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transportation to and from your facility. We formally hold the correctional facility, its administration, and</w:t>
      </w:r>
    </w:p>
    <w:p w14:paraId="00000011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the state entirely harmless for any events, injuries, or liabilities occurring during passenger transit or on</w:t>
      </w:r>
    </w:p>
    <w:p w14:paraId="00000012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facility grounds.</w:t>
      </w:r>
    </w:p>
    <w:p w14:paraId="00000013">
      <w:pP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  <w:t>2. Strict Adherence to Facility Visitation Policies &amp; DOCCS Directives</w:t>
      </w:r>
    </w:p>
    <w:p w14:paraId="00000014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We understand that each facility operates under specific and unique visitation rules. Our platform logic is</w:t>
      </w:r>
    </w:p>
    <w:p w14:paraId="00000015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directly mapped to New York State DOCCS Directives and individual facility parameters. The booking</w:t>
      </w:r>
    </w:p>
    <w:p w14:paraId="00000016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system automatically prevents families from scheduling rides on incorrect days by filtering availability</w:t>
      </w:r>
    </w:p>
    <w:p w14:paraId="00000017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based on your facility's exact schedule—including alternating weekend schedules based on an inmate's</w:t>
      </w:r>
    </w:p>
    <w:p w14:paraId="00000018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Departmental Identification Number (DIN) or last name.</w:t>
      </w:r>
    </w:p>
    <w:p w14:paraId="00000019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Prior to booking, our community members are actively briefed on standard and unique facility rules,</w:t>
      </w:r>
    </w:p>
    <w:p w14:paraId="0000001A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including:</w:t>
      </w:r>
    </w:p>
    <w:p w14:paraId="0000001B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Mandatory requirements for valid, unexpired government-issued photo identification.</w:t>
      </w:r>
    </w:p>
    <w:p w14:paraId="0000001C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Strict adherence to the maximum visitor capacity limits (e.g., 3 adults and 1 child under 5 per</w:t>
      </w:r>
    </w:p>
    <w:p w14:paraId="0000001D">
      <w:pPr>
        <w:rPr>
          <w:color w:val="2f5395" w:themeColor="accent1" w:themeShade="bf"/>
          <w:sz w:val="22"/>
          <w:szCs w:val="22"/>
        </w:rPr>
      </w:pPr>
      <w:r>
        <w:rPr>
          <w:color w:val="2f5395" w:themeColor="accent1" w:themeShade="bf"/>
          <w:sz w:val="22"/>
          <w:szCs w:val="22"/>
          <w:lang w:val="en-US"/>
        </w:rPr>
        <w:t>visit).</w:t>
      </w:r>
    </w:p>
    <w:p w14:paraId="0000001E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Absolute compliance with the facility's zero-tolerance contraband protocols, dress codes, and metal</w:t>
      </w:r>
    </w:p>
    <w:p w14:paraId="0000001F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detector / Cell Sense screening procedures.</w:t>
      </w:r>
    </w:p>
    <w:p w14:paraId="00000020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Understanding of facility-specific parameters, such as package drop-off restrictions or secure</w:t>
      </w:r>
    </w:p>
    <w:p w14:paraId="00000021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vendor requirements.</w:t>
      </w:r>
    </w:p>
    <w:p w14:paraId="00000022">
      <w:pP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  <w:t>3. Overcrowding Protocols and Driver Conduct Standards</w:t>
      </w:r>
    </w:p>
    <w:p w14:paraId="00000023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Connect Travel drivers act strictly as logistical transport providers. They are contractually instructed to</w:t>
      </w:r>
    </w:p>
    <w:p w14:paraId="00000024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drop passengers off at designated visitor processing areas and remain in their vehicles or stage off-site.</w:t>
      </w:r>
    </w:p>
    <w:p w14:paraId="00000025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Drivers will not attempt to enter the facility or visitation room unless they are personally an approved,</w:t>
      </w:r>
    </w:p>
    <w:p w14:paraId="00000026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registered visitor for an inmate. Furthermore, our drivers are educated on DOCCS overcrowding</w:t>
      </w:r>
    </w:p>
    <w:p w14:paraId="00000027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protocols; they are fully aware that if the visitation room reaches maximum capacity, visitors traveling</w:t>
      </w:r>
    </w:p>
    <w:p w14:paraId="00000028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from within a 100-mile radius may have their visits terminated after three (3) hours. Drivers are prepared</w:t>
      </w:r>
    </w:p>
    <w:p w14:paraId="00000029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and scheduled to accommodate these turnaround times without causing disruption to facility operations.</w:t>
      </w:r>
    </w:p>
    <w:p w14:paraId="0000002A">
      <w:pP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</w:pPr>
      <w:r>
        <w:rPr>
          <w:b/>
          <w:bCs/>
          <w:color w:val="2f5395" w:themeColor="accent1" w:themeShade="bf"/>
          <w:sz w:val="28"/>
          <w:szCs w:val="28"/>
          <w:u w:val="single"/>
          <w:lang w:val="en-US"/>
        </w:rPr>
        <w:t>4. Facility Independence</w:t>
      </w:r>
    </w:p>
    <w:p w14:paraId="0000002B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Connect Travel is a privately operated, independent LLC registered in Florida, operating out of Buffalo,</w:t>
      </w:r>
    </w:p>
    <w:p w14:paraId="0000002C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New York. We make no claims of official affiliation, partnership, or endorsement by the Department of</w:t>
      </w:r>
    </w:p>
    <w:p w14:paraId="0000002D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Corrections or your specific facility. Our sole objective is to provide a safe, insured, compliant, and</w:t>
      </w:r>
    </w:p>
    <w:p w14:paraId="0000002E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2f5395" w:themeColor="accent1" w:themeShade="bf"/>
          <w:sz w:val="22"/>
          <w:szCs w:val="22"/>
          <w:lang w:val="en-US"/>
        </w:rPr>
        <w:t>affordable logistical solution for families exercising their visitation privileges.</w:t>
      </w:r>
    </w:p>
    <w:p w14:paraId="0000002F">
      <w:pPr>
        <w:rPr>
          <w:color w:val="2f5395" w:themeColor="accent1" w:themeShade="bf"/>
          <w:sz w:val="22"/>
          <w:szCs w:val="22"/>
        </w:rPr>
      </w:pPr>
    </w:p>
    <w:p w14:paraId="00000030">
      <w:pPr>
        <w:rPr>
          <w:rFonts w:ascii="Blackadder ITC" w:cs="Blackadder ITC" w:hAnsi="Blackadder ITC"/>
          <w:color w:val="000000" w:themeColor="text1"/>
          <w:sz w:val="22"/>
          <w:szCs w:val="22"/>
          <w:lang w:val="en-US"/>
        </w:rPr>
      </w:pPr>
      <w:r>
        <w:rPr>
          <w:rFonts w:ascii="Blackadder ITC" w:cs="Blackadder ITC" w:hAnsi="Blackadder ITC"/>
          <w:color w:val="000000" w:themeColor="text1"/>
          <w:sz w:val="22"/>
          <w:szCs w:val="22"/>
          <w:lang w:val="en-US"/>
        </w:rPr>
        <w:t xml:space="preserve">DeMarkus Wilson </w:t>
      </w:r>
    </w:p>
    <w:p w14:paraId="00000031">
      <w:pPr>
        <w:rPr>
          <w:color w:val="000000" w:themeColor="text1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Founder &amp; Director, Connect Travel</w:t>
      </w:r>
    </w:p>
    <w:p w14:paraId="00000032">
      <w:pPr>
        <w:rPr>
          <w:color w:val="2f5395" w:themeColor="accent1" w:themeShade="bf"/>
          <w:sz w:val="22"/>
          <w:szCs w:val="22"/>
          <w:lang w:val="en-US"/>
        </w:rPr>
      </w:pPr>
      <w:r>
        <w:rPr>
          <w:color w:val="000000" w:themeColor="text1"/>
          <w:sz w:val="22"/>
          <w:szCs w:val="22"/>
          <w:lang w:val="en-US"/>
        </w:rPr>
        <w:t>Buffalo, New York</w:t>
      </w:r>
    </w:p>
    <w:p w14:paraId="00000033">
      <w:pPr>
        <w:rPr>
          <w:color w:val="2f5395" w:themeColor="accent1" w:themeShade="bf"/>
          <w:sz w:val="22"/>
          <w:szCs w:val="22"/>
          <w:lang w:val="en-US"/>
        </w:rPr>
      </w:pPr>
    </w:p>
    <w:p w14:paraId="00000034">
      <w:pPr>
        <w:rPr>
          <w:color w:val="2f5395" w:themeColor="accent1" w:themeShade="bf"/>
          <w:sz w:val="22"/>
          <w:szCs w:val="22"/>
          <w:lang w:val="en-US"/>
        </w:rPr>
      </w:pPr>
    </w:p>
    <w:p w14:paraId="00000035">
      <w:pPr>
        <w:rPr>
          <w:color w:val="2f5395" w:themeColor="accent1" w:themeShade="bf"/>
          <w:sz w:val="22"/>
          <w:szCs w:val="22"/>
          <w:lang w:val="en-US"/>
        </w:rPr>
      </w:pPr>
    </w:p>
    <w:p w14:paraId="00000036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7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8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9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A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B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C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D">
      <w:pPr>
        <w:rPr>
          <w:rFonts w:ascii="Calibri" w:cs="Calibri" w:hAnsi="Calibri"/>
          <w:color w:val="000000" w:themeColor="text1"/>
          <w:sz w:val="22"/>
          <w:szCs w:val="22"/>
          <w:lang w:val="en-US"/>
        </w:rPr>
      </w:pPr>
    </w:p>
    <w:p w14:paraId="0000003E">
      <w:pPr>
        <w:rPr>
          <w:rFonts w:ascii="Calibri" w:cs="Calibri" w:hAnsi="Calibri"/>
          <w:color w:val="2f5395" w:themeColor="accent1" w:themeShade="bf"/>
          <w:sz w:val="22"/>
          <w:szCs w:val="22"/>
          <w:lang w:val="en-US"/>
        </w:rPr>
      </w:pPr>
      <w:r>
        <w:rPr>
          <w:rFonts w:ascii="Calibri" w:cs="Calibri" w:hAnsi="Calibri"/>
          <w:color w:val="000000" w:themeColor="text1"/>
          <w:sz w:val="22"/>
          <w:szCs w:val="22"/>
          <w:lang w:val="en-US"/>
        </w:rPr>
        <w:t xml:space="preserve">Connect Travel is a registered trademark product of  Illy Robotic Instruments LLC </w:t>
      </w:r>
      <w:r>
        <w:rPr>
          <w:rStyle w:val="Hyperlink"/>
          <w:rFonts w:ascii="Calibri" w:cs="Calibri" w:hAnsi="Calibri"/>
          <w:sz w:val="22"/>
          <w:szCs w:val="22"/>
          <w:lang w:val="en-US"/>
        </w:rPr>
        <w:fldChar w:fldCharType="begin"/>
      </w:r>
      <w:r>
        <w:rPr>
          <w:rStyle w:val="Hyperlink"/>
          <w:rFonts w:ascii="Calibri" w:cs="Calibri" w:hAnsi="Calibri"/>
          <w:sz w:val="22"/>
          <w:szCs w:val="22"/>
          <w:lang w:val="en-US"/>
        </w:rPr>
        <w:instrText xml:space="preserve">HYPERLINK "https://www.illyrobotic-ai.com/"</w:instrText>
      </w:r>
      <w:r>
        <w:rPr>
          <w:rStyle w:val="Hyperlink"/>
          <w:rFonts w:ascii="Calibri" w:cs="Calibri" w:hAnsi="Calibri"/>
          <w:sz w:val="22"/>
          <w:szCs w:val="22"/>
          <w:lang w:val="en-US"/>
        </w:rPr>
        <w:fldChar w:fldCharType="separate"/>
      </w:r>
      <w:r>
        <w:rPr>
          <w:rStyle w:val="Hyperlink"/>
          <w:rFonts w:ascii="Calibri" w:cs="Calibri" w:hAnsi="Calibri"/>
          <w:sz w:val="22"/>
          <w:szCs w:val="22"/>
          <w:lang w:val="en-US"/>
        </w:rPr>
        <w:t>https://www.illyrobotic-ai.com/</w:t>
      </w:r>
      <w:r>
        <w:rPr>
          <w:rFonts w:ascii="Calibri" w:cs="Calibri" w:hAnsi="Calibri"/>
          <w:color w:val="000000" w:themeColor="text1"/>
          <w:sz w:val="22"/>
          <w:szCs w:val="22"/>
          <w:lang w:val="en-US"/>
        </w:rPr>
        <w:fldChar w:fldCharType="end"/>
      </w:r>
      <w:r>
        <w:rPr>
          <w:rFonts w:ascii="Calibri" w:cs="Calibri" w:hAnsi="Calibri"/>
          <w:color w:val="000000" w:themeColor="text1"/>
          <w:sz w:val="22"/>
          <w:szCs w:val="22"/>
          <w:lang w:val="en-US"/>
        </w:rPr>
        <w:t xml:space="preserve"> Mobile: (718) -709-1364</w:t>
      </w:r>
    </w:p>
    <w:sectPr>
      <w:headerReference w:type="default" r:id="rId4"/>
      <w:footerReference w:type="default" r:id="rId5"/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Blackadder ITC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42"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p w14:paraId="0000003F">
    <w:pPr>
      <w:jc w:val="center"/>
      <w:rPr>
        <w:b/>
        <w:bCs/>
        <w:color w:val="44546a" w:themeColor="text2"/>
        <w:sz w:val="52"/>
        <w:szCs w:val="52"/>
      </w:rPr>
    </w:pPr>
    <w:r>
      <w:rPr>
        <w:b/>
        <w:bCs/>
        <w:color w:val="44546a" w:themeColor="text2"/>
        <w:sz w:val="56"/>
        <w:szCs w:val="56"/>
        <w:lang w:val="en-US"/>
      </w:rPr>
      <w:drawing xmlns:mc="http://schemas.openxmlformats.org/markup-compatibility/2006">
        <wp:anchor allowOverlap="1" behindDoc="0" layoutInCell="1" locked="0" relativeHeight="1" simplePos="0">
          <wp:simplePos x="0" y="0"/>
          <wp:positionH relativeFrom="page">
            <wp:posOffset>160655</wp:posOffset>
          </wp:positionH>
          <wp:positionV relativeFrom="page">
            <wp:posOffset>206375</wp:posOffset>
          </wp:positionV>
          <wp:extent cx="1183005" cy="57975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>
                    <a:picLocks noGrp="0" noSelect="0" noChangeAspect="1" noMove="0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44546a" w:themeColor="text2"/>
        <w:sz w:val="56"/>
        <w:szCs w:val="56"/>
        <w:lang w:val="en-US"/>
      </w:rPr>
      <w:t>FACILITY ADMINISTRATION</w:t>
    </w:r>
  </w:p>
  <w:p w14:paraId="00000040">
    <w:pPr>
      <w:jc w:val="center"/>
      <w:rPr>
        <w:color w:val="ed7d31" w:themeColor="accent2"/>
        <w:lang w:val="en-US"/>
      </w:rPr>
    </w:pPr>
    <w:r>
      <w:rPr>
        <w:b/>
        <w:bCs/>
        <w:color w:val="ed7d31" w:themeColor="accent2"/>
        <w:sz w:val="52"/>
        <w:szCs w:val="52"/>
        <w:lang w:val="en-US"/>
      </w:rPr>
      <w:t>COMPLIANCE &amp; LIABILITY STATEMENT</w:t>
    </w:r>
  </w:p>
  <w:p w14:paraId="00000041">
    <w:pPr>
      <w:spacing w:after="0" w:line="240" w:lineRule="auto"/>
      <w:rPr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trackRevisions w:val="off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demarkus wilson</dc:creator>
  <cp:lastModifiedBy>demarkus wilson</cp:lastModifiedBy>
</cp:coreProperties>
</file>