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before="0" w:after="322"/>
        <w:rPr>
          <w:b/>
          <w:bCs/>
          <w:sz w:val="48"/>
          <w:szCs w:val="48"/>
        </w:rPr>
      </w:pPr>
      <w:r>
        <w:rPr>
          <w:rFonts w:ascii="Times New Roman" w:eastAsia="Times New Roman" w:hAnsi="Times New Roman" w:cs="Times New Roman"/>
          <w:i w:val="0"/>
          <w:color w:val="auto"/>
        </w:rPr>
        <w:t>Biotech Dealmaker Brief</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Weekly BD Committee Prep Pack</w:t>
      </w:r>
    </w:p>
    <w:p>
      <w:pPr>
        <w:spacing w:before="240" w:after="240"/>
      </w:pPr>
      <w:r>
        <w:rPr>
          <w:b/>
          <w:bCs/>
        </w:rPr>
        <w:t>Cycle ending:</w:t>
      </w:r>
      <w:r>
        <w:t xml:space="preserve"> May 26, 2026</w:t>
      </w:r>
    </w:p>
    <w:p>
      <w:pPr>
        <w:spacing w:before="240" w:after="240"/>
      </w:pPr>
      <w:r>
        <w:rPr>
          <w:b/>
          <w:bCs/>
        </w:rPr>
        <w:t>Mode:</w:t>
      </w:r>
      <w:r>
        <w:t xml:space="preserve"> Broad coverage / first sample issue</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BD COMMITTEE PREP PACK</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Slide 1 — Board-Ready Summary</w:t>
      </w:r>
    </w:p>
    <w:p>
      <w:pPr>
        <w:numPr>
          <w:ilvl w:val="0"/>
          <w:numId w:val="1"/>
        </w:numPr>
        <w:spacing w:before="240"/>
        <w:ind w:left="720" w:hanging="329"/>
        <w:jc w:val="left"/>
      </w:pPr>
      <w:r>
        <w:rPr>
          <w:b/>
          <w:bCs/>
        </w:rPr>
        <w:t>Lilly creates a vaccine M&amp;A comp set:</w:t>
      </w:r>
      <w:r>
        <w:t xml:space="preserve"> three same-day acquisitions give BD teams fresh infectious-disease prevention comps; pull vaccine-platform deal rows before pricing prevention assets.</w:t>
      </w:r>
    </w:p>
    <w:p>
      <w:pPr>
        <w:numPr>
          <w:ilvl w:val="0"/>
          <w:numId w:val="1"/>
        </w:numPr>
        <w:ind w:left="720" w:hanging="329"/>
        <w:jc w:val="left"/>
      </w:pPr>
      <w:r>
        <w:rPr>
          <w:b/>
          <w:bCs/>
        </w:rPr>
        <w:t>Retatrutide resets obesity benchmarks:</w:t>
      </w:r>
      <w:r>
        <w:t xml:space="preserve"> TRIUMPH-1's 28.3% mean weight loss at 80 weeks raises the bar for undifferentiated obesity assets; separate mechanism-differentiated assets from incremental incretin follow-ons.</w:t>
      </w:r>
    </w:p>
    <w:p>
      <w:pPr>
        <w:numPr>
          <w:ilvl w:val="0"/>
          <w:numId w:val="1"/>
        </w:numPr>
        <w:spacing w:after="240"/>
        <w:ind w:left="720" w:hanging="329"/>
        <w:jc w:val="left"/>
      </w:pPr>
      <w:r>
        <w:rPr>
          <w:b/>
          <w:bCs/>
        </w:rPr>
        <w:t>Datroway splits TROP2 ADC comps by label:</w:t>
      </w:r>
      <w:r>
        <w:t xml:space="preserve"> FDA approval in 1L metastatic TNBC creates a label-specific comparator; stop treating "TROP2 ADC" as a single comp bucket.</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Slide 2 — Comp / Leverage Reset</w:t>
      </w:r>
    </w:p>
    <w:p>
      <w:pPr>
        <w:numPr>
          <w:ilvl w:val="0"/>
          <w:numId w:val="2"/>
        </w:numPr>
        <w:spacing w:before="240"/>
        <w:ind w:left="720" w:hanging="329"/>
        <w:jc w:val="left"/>
      </w:pPr>
      <w:r>
        <w:rPr>
          <w:b/>
          <w:bCs/>
        </w:rPr>
        <w:t>Seller leverage improves</w:t>
      </w:r>
      <w:r>
        <w:t xml:space="preserve"> for differentiated vaccine platforms with tolerability, manufacturing, or pathogen-risk logic; Lilly's Curevo, LimmaTech, and Vaccine Company deals are milestone-heavy but current-cycle.</w:t>
      </w:r>
    </w:p>
    <w:p>
      <w:pPr>
        <w:numPr>
          <w:ilvl w:val="0"/>
          <w:numId w:val="2"/>
        </w:numPr>
        <w:ind w:left="720" w:hanging="329"/>
        <w:jc w:val="left"/>
      </w:pPr>
      <w:r>
        <w:rPr>
          <w:b/>
          <w:bCs/>
        </w:rPr>
        <w:t>Buyer leverage improves</w:t>
      </w:r>
      <w:r>
        <w:t xml:space="preserve"> against obesity assets without differentiated mechanism, route, body-composition, or tolerability claims; retatrutide becomes the benchmark problem.</w:t>
      </w:r>
    </w:p>
    <w:p>
      <w:pPr>
        <w:numPr>
          <w:ilvl w:val="0"/>
          <w:numId w:val="2"/>
        </w:numPr>
        <w:spacing w:after="240"/>
        <w:ind w:left="720" w:hanging="329"/>
        <w:jc w:val="left"/>
      </w:pPr>
      <w:r>
        <w:rPr>
          <w:b/>
          <w:bCs/>
        </w:rPr>
        <w:t>TROP2 ADC pricing becomes label-specific:</w:t>
      </w:r>
      <w:r>
        <w:t xml:space="preserve"> PD-1 eligibility, line of therapy, safety profile, and tumor setting now matter more than target alone.</w:t>
      </w:r>
    </w:p>
    <w:p>
      <w:pPr>
        <w:pStyle w:val="Heading3"/>
        <w:keepNext w:val="0"/>
        <w:keepLines w:val="0"/>
        <w:spacing w:before="281" w:after="281"/>
        <w:rPr>
          <w:b/>
          <w:bCs/>
          <w:sz w:val="28"/>
          <w:szCs w:val="28"/>
        </w:rPr>
      </w:pPr>
      <w:r>
        <w:rPr>
          <w:rFonts w:ascii="Times New Roman" w:eastAsia="Times New Roman" w:hAnsi="Times New Roman" w:cs="Times New Roman"/>
          <w:i w:val="0"/>
          <w:color w:val="auto"/>
        </w:rPr>
        <w:t>Slide 3 — Recommended Internal Actions</w:t>
      </w:r>
    </w:p>
    <w:p>
      <w:pPr>
        <w:numPr>
          <w:ilvl w:val="0"/>
          <w:numId w:val="3"/>
        </w:numPr>
        <w:spacing w:before="240"/>
        <w:ind w:left="720" w:hanging="329"/>
        <w:jc w:val="left"/>
      </w:pPr>
      <w:r>
        <w:rPr>
          <w:b/>
          <w:bCs/>
        </w:rPr>
        <w:t>Pull comps:</w:t>
      </w:r>
      <w:r>
        <w:t xml:space="preserve"> vaccine acquisitions, obesity in-license deals, TROP2 ADC transactions, and HDV/HBV antiviral precedents.</w:t>
      </w:r>
    </w:p>
    <w:p>
      <w:pPr>
        <w:numPr>
          <w:ilvl w:val="0"/>
          <w:numId w:val="3"/>
        </w:numPr>
        <w:ind w:left="720" w:hanging="329"/>
        <w:jc w:val="left"/>
      </w:pPr>
      <w:r>
        <w:rPr>
          <w:b/>
          <w:bCs/>
        </w:rPr>
        <w:t>Reprice screens:</w:t>
      </w:r>
      <w:r>
        <w:t xml:space="preserve"> infectious-disease prevention platforms, obesity assets without clear differentiation, and TNBC-positioned ADCs.</w:t>
      </w:r>
    </w:p>
    <w:p>
      <w:pPr>
        <w:numPr>
          <w:ilvl w:val="0"/>
          <w:numId w:val="3"/>
        </w:numPr>
        <w:spacing w:after="240"/>
        <w:ind w:left="720" w:hanging="329"/>
        <w:jc w:val="left"/>
      </w:pPr>
      <w:r>
        <w:rPr>
          <w:b/>
          <w:bCs/>
        </w:rPr>
        <w:t>Brief BD committee:</w:t>
      </w:r>
      <w:r>
        <w:t xml:space="preserve"> whether current inbound filters should change for prevention, obesity, and ADC label segmentation.</w:t>
      </w:r>
    </w:p>
    <w:p>
      <w:pPr>
        <w:pStyle w:val="Heading1"/>
        <w:keepNext w:val="0"/>
        <w:keepLines w:val="0"/>
        <w:spacing w:before="322" w:after="322"/>
        <w:rPr>
          <w:b/>
          <w:bCs/>
          <w:sz w:val="48"/>
          <w:szCs w:val="48"/>
        </w:rPr>
      </w:pPr>
      <w:r>
        <w:rPr>
          <w:rFonts w:ascii="Times New Roman" w:eastAsia="Times New Roman" w:hAnsi="Times New Roman" w:cs="Times New Roman"/>
          <w:i w:val="0"/>
          <w:color w:val="auto"/>
        </w:rPr>
        <w:t>TOP — 3 ITEMS</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1. Lilly buys vaccine trio</w:t>
      </w:r>
    </w:p>
    <w:p>
      <w:pPr>
        <w:spacing w:before="240" w:after="240"/>
      </w:pPr>
      <w:r>
        <w:rPr>
          <w:b/>
          <w:bCs/>
        </w:rPr>
        <w:t>Event date:</w:t>
      </w:r>
      <w:r>
        <w:t xml:space="preserve"> 2026-05-26</w:t>
      </w:r>
    </w:p>
    <w:p>
      <w:pPr>
        <w:spacing w:before="240" w:after="240"/>
      </w:pPr>
      <w:r>
        <w:rPr>
          <w:b/>
          <w:bCs/>
        </w:rPr>
        <w:t>What changed:</w:t>
      </w:r>
      <w:r>
        <w:t xml:space="preserve"> Lilly announced agreements to acquire Curevo, LimmaTech Biologics, and Vaccine Company to expand its infectious-disease portfolio; reported maximum deal values are up to $1.5B for Curevo, $780M for LimmaTech, and $1.55B for Vaccine Company. (</w:t>
      </w:r>
      <w:hyperlink r:id="rId4" w:history="1">
        <w:r>
          <w:rPr>
            <w:color w:val="0000EE"/>
            <w:u w:val="single" w:color="0000EE"/>
          </w:rPr>
          <w:t>PR Newswire</w:t>
        </w:r>
      </w:hyperlink>
      <w:r>
        <w:t>)</w:t>
      </w:r>
    </w:p>
    <w:p>
      <w:pPr>
        <w:spacing w:before="240" w:after="240"/>
      </w:pPr>
      <w:r>
        <w:rPr>
          <w:b/>
          <w:bCs/>
        </w:rPr>
        <w:t>Inference chain:</w:t>
      </w:r>
    </w:p>
    <w:p>
      <w:pPr>
        <w:spacing w:before="240" w:after="240"/>
      </w:pPr>
      <w:r>
        <w:t xml:space="preserve">Step 1: Three separate vaccine-platform acquisitions were announced on the same day. </w:t>
      </w:r>
      <w:r>
        <w:rPr>
          <w:b/>
          <w:bCs/>
        </w:rPr>
        <w:t>High.</w:t>
      </w:r>
    </w:p>
    <w:p>
      <w:pPr>
        <w:spacing w:before="240" w:after="240"/>
      </w:pPr>
      <w:r>
        <w:t xml:space="preserve">Step 2: The assets span shingles tolerability, bacterial pathogens, and EBV-linked long-term disease risk. </w:t>
      </w:r>
      <w:r>
        <w:rPr>
          <w:b/>
          <w:bCs/>
        </w:rPr>
        <w:t>High.</w:t>
      </w:r>
    </w:p>
    <w:p>
      <w:pPr>
        <w:spacing w:before="240" w:after="240"/>
      </w:pPr>
      <w:r>
        <w:t xml:space="preserve">Step 3: This creates a live strategic-buyer comp set for prevention assets with differentiated technology or pathogen-risk logic. </w:t>
      </w:r>
      <w:r>
        <w:rPr>
          <w:b/>
          <w:bCs/>
        </w:rPr>
        <w:t>Medium — depends on whether non-Lilly buyers follow prevention as a BD priority.</w:t>
      </w:r>
    </w:p>
    <w:p>
      <w:pPr>
        <w:spacing w:before="240" w:after="240"/>
      </w:pPr>
      <w:r>
        <w:t xml:space="preserve">→ </w:t>
      </w:r>
      <w:r>
        <w:rPr>
          <w:b/>
          <w:bCs/>
        </w:rPr>
        <w:t>Conclusion:</w:t>
      </w:r>
      <w:r>
        <w:t xml:space="preserve"> Vaccine-platform sellers gain leverage when the story is differentiated prevention, not generic infectious-disease exposure. </w:t>
      </w:r>
      <w:r>
        <w:rPr>
          <w:b/>
          <w:bCs/>
        </w:rPr>
        <w:t>Medium.</w:t>
      </w:r>
    </w:p>
    <w:p>
      <w:pPr>
        <w:spacing w:before="240" w:after="240"/>
      </w:pPr>
      <w:r>
        <w:rPr>
          <w:b/>
          <w:bCs/>
        </w:rPr>
        <w:t>So what:</w:t>
      </w:r>
      <w:r>
        <w:t xml:space="preserve"> Standing decisions affected: M&amp;A target identification, in-license target screening, and deal-structure framing.</w:t>
      </w:r>
    </w:p>
    <w:p>
      <w:pPr>
        <w:spacing w:before="240" w:after="240"/>
      </w:pPr>
      <w:r>
        <w:rPr>
          <w:b/>
          <w:bCs/>
        </w:rPr>
        <w:t>Committee question:</w:t>
      </w:r>
      <w:r>
        <w:t xml:space="preserve"> Which prevention assets in our screen are differentiated enough to justify acquisition rather than option/license structure?</w:t>
      </w:r>
    </w:p>
    <w:p>
      <w:pPr>
        <w:spacing w:before="240" w:after="240"/>
      </w:pPr>
      <w:r>
        <w:rPr>
          <w:b/>
          <w:bCs/>
        </w:rPr>
        <w:t>Action — current cycle:</w:t>
      </w:r>
      <w:r>
        <w:t xml:space="preserve"> </w:t>
      </w:r>
      <w:r>
        <w:rPr>
          <w:b/>
          <w:bCs/>
        </w:rPr>
        <w:t>Model vaccine-platform acquisition comps</w:t>
      </w:r>
      <w:r>
        <w:t xml:space="preserve"> using Curevo, LimmaTech, and Vaccine Company as current-cycle reference rows.</w:t>
      </w:r>
    </w:p>
    <w:p>
      <w:pPr>
        <w:spacing w:before="240" w:after="240"/>
      </w:pPr>
      <w:r>
        <w:rPr>
          <w:b/>
          <w:bCs/>
        </w:rPr>
        <w:t>Confidence — fact:</w:t>
      </w:r>
      <w:r>
        <w:t xml:space="preserve"> High — company and transaction-source support.</w:t>
      </w:r>
    </w:p>
    <w:p>
      <w:pPr>
        <w:spacing w:before="240" w:after="240"/>
      </w:pPr>
      <w:r>
        <w:rPr>
          <w:b/>
          <w:bCs/>
        </w:rPr>
        <w:t>Confidence — implication:</w:t>
      </w:r>
      <w:r>
        <w:t xml:space="preserve"> Medium — bottleneck is Step 3: buyer appetite beyond Lilly.</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2. Retatrutide resets obesity bar</w:t>
      </w:r>
    </w:p>
    <w:p>
      <w:pPr>
        <w:spacing w:before="240" w:after="240"/>
      </w:pPr>
      <w:r>
        <w:rPr>
          <w:b/>
          <w:bCs/>
        </w:rPr>
        <w:t>Event date:</w:t>
      </w:r>
      <w:r>
        <w:t xml:space="preserve"> 2026-05-21</w:t>
      </w:r>
    </w:p>
    <w:p>
      <w:pPr>
        <w:spacing w:before="240" w:after="240"/>
      </w:pPr>
      <w:r>
        <w:rPr>
          <w:b/>
          <w:bCs/>
        </w:rPr>
        <w:t>What changed:</w:t>
      </w:r>
      <w:r>
        <w:t xml:space="preserve"> Lilly disclosed Phase 3 TRIUMPH-1 topline data showing retatrutide 12 mg delivered 28.3% mean weight loss at 80 weeks, with 45.3% of participants achieving at least 30% weight loss. (</w:t>
      </w:r>
      <w:hyperlink r:id="rId5" w:history="1">
        <w:r>
          <w:rPr>
            <w:color w:val="0000EE"/>
            <w:u w:val="single" w:color="0000EE"/>
          </w:rPr>
          <w:t>Eli Lilly and Company</w:t>
        </w:r>
      </w:hyperlink>
      <w:r>
        <w:t>)</w:t>
      </w:r>
    </w:p>
    <w:p>
      <w:pPr>
        <w:spacing w:before="240" w:after="240"/>
      </w:pPr>
      <w:r>
        <w:rPr>
          <w:b/>
          <w:bCs/>
        </w:rPr>
        <w:t>Inference chain:</w:t>
      </w:r>
    </w:p>
    <w:p>
      <w:pPr>
        <w:spacing w:before="240" w:after="240"/>
      </w:pPr>
      <w:r>
        <w:t xml:space="preserve">Step 1: TRIUMPH-1 establishes a new disclosed late-stage efficacy benchmark for obesity pharmacotherapy. </w:t>
      </w:r>
      <w:r>
        <w:rPr>
          <w:b/>
          <w:bCs/>
        </w:rPr>
        <w:t>High.</w:t>
      </w:r>
    </w:p>
    <w:p>
      <w:pPr>
        <w:spacing w:before="240" w:after="240"/>
      </w:pPr>
      <w:r>
        <w:t xml:space="preserve">Step 2: Obesity assets priced against older incretin benchmarks now require mechanism-specific segmentation. </w:t>
      </w:r>
      <w:r>
        <w:rPr>
          <w:b/>
          <w:bCs/>
        </w:rPr>
        <w:t>High.</w:t>
      </w:r>
    </w:p>
    <w:p>
      <w:pPr>
        <w:spacing w:before="240" w:after="240"/>
      </w:pPr>
      <w:r>
        <w:t xml:space="preserve">Step 3: Undifferentiated GLP-1 / incretin follow-ons face tougher pricing conversations; assets with oral delivery, amylin, glucagon, muscle-sparing, tolerability, or population-specific differentiation may preserve leverage. </w:t>
      </w:r>
      <w:r>
        <w:rPr>
          <w:b/>
          <w:bCs/>
        </w:rPr>
        <w:t>Medium — depends on buyer belief in durability, tolerability, and commercial runway.</w:t>
      </w:r>
    </w:p>
    <w:p>
      <w:pPr>
        <w:spacing w:before="240" w:after="240"/>
      </w:pPr>
      <w:r>
        <w:t xml:space="preserve">→ </w:t>
      </w:r>
      <w:r>
        <w:rPr>
          <w:b/>
          <w:bCs/>
        </w:rPr>
        <w:t>Conclusion:</w:t>
      </w:r>
      <w:r>
        <w:t xml:space="preserve"> Obesity in-license screens should be rebuilt around differentiation, not generic category exposure. </w:t>
      </w:r>
      <w:r>
        <w:rPr>
          <w:b/>
          <w:bCs/>
        </w:rPr>
        <w:t>Medium.</w:t>
      </w:r>
    </w:p>
    <w:p>
      <w:pPr>
        <w:spacing w:before="240" w:after="240"/>
      </w:pPr>
      <w:r>
        <w:rPr>
          <w:b/>
          <w:bCs/>
        </w:rPr>
        <w:t>So what:</w:t>
      </w:r>
      <w:r>
        <w:t xml:space="preserve"> Standing decisions affected: in-license target identification, active deal pricing, and partnership prioritization.</w:t>
      </w:r>
    </w:p>
    <w:p>
      <w:pPr>
        <w:spacing w:before="240" w:after="240"/>
      </w:pPr>
      <w:r>
        <w:rPr>
          <w:b/>
          <w:bCs/>
        </w:rPr>
        <w:t>Committee question:</w:t>
      </w:r>
      <w:r>
        <w:t xml:space="preserve"> Which active obesity term sheets still rely on a pre-retatrutide efficacy frame?</w:t>
      </w:r>
    </w:p>
    <w:p>
      <w:pPr>
        <w:spacing w:before="240" w:after="240"/>
      </w:pPr>
      <w:r>
        <w:rPr>
          <w:b/>
          <w:bCs/>
        </w:rPr>
        <w:t>Action — current cycle:</w:t>
      </w:r>
      <w:r>
        <w:t xml:space="preserve"> </w:t>
      </w:r>
      <w:r>
        <w:rPr>
          <w:b/>
          <w:bCs/>
        </w:rPr>
        <w:t>Reprice active and pipelined obesity in-license models</w:t>
      </w:r>
      <w:r>
        <w:t xml:space="preserve"> against a retatrutide-adjusted benchmark; separate differentiated mechanisms from incremental incretin assets.</w:t>
      </w:r>
    </w:p>
    <w:p>
      <w:pPr>
        <w:spacing w:before="240" w:after="240"/>
      </w:pPr>
      <w:r>
        <w:rPr>
          <w:b/>
          <w:bCs/>
        </w:rPr>
        <w:t>Confidence — fact:</w:t>
      </w:r>
      <w:r>
        <w:t xml:space="preserve"> High — sponsor press release with disclosed effect sizes.</w:t>
      </w:r>
    </w:p>
    <w:p>
      <w:pPr>
        <w:spacing w:before="240" w:after="240"/>
      </w:pPr>
      <w:r>
        <w:rPr>
          <w:b/>
          <w:bCs/>
        </w:rPr>
        <w:t>Confidence — implication:</w:t>
      </w:r>
      <w:r>
        <w:t xml:space="preserve"> Medium — bottleneck is Step 3: counterparty acceptance of the new benchmark.</w:t>
      </w:r>
    </w:p>
    <w:p>
      <w:pPr>
        <w:pStyle w:val="Heading2"/>
        <w:keepNext w:val="0"/>
        <w:keepLines w:val="0"/>
        <w:spacing w:before="299" w:after="299"/>
        <w:rPr>
          <w:b/>
          <w:bCs/>
          <w:sz w:val="36"/>
          <w:szCs w:val="36"/>
        </w:rPr>
      </w:pPr>
      <w:r>
        <w:rPr>
          <w:rFonts w:ascii="Times New Roman" w:eastAsia="Times New Roman" w:hAnsi="Times New Roman" w:cs="Times New Roman"/>
          <w:i w:val="0"/>
          <w:color w:val="auto"/>
        </w:rPr>
        <w:t>3. Datroway clears TNBC label</w:t>
      </w:r>
    </w:p>
    <w:p>
      <w:pPr>
        <w:spacing w:before="240" w:after="240"/>
      </w:pPr>
      <w:r>
        <w:rPr>
          <w:b/>
          <w:bCs/>
        </w:rPr>
        <w:t>Event date:</w:t>
      </w:r>
      <w:r>
        <w:t xml:space="preserve"> 2026-05-22</w:t>
      </w:r>
    </w:p>
    <w:p>
      <w:pPr>
        <w:spacing w:before="240" w:after="240"/>
      </w:pPr>
      <w:r>
        <w:rPr>
          <w:b/>
          <w:bCs/>
        </w:rPr>
        <w:t>What changed:</w:t>
      </w:r>
      <w:r>
        <w:t xml:space="preserve"> FDA approved Datroway for adult patients with unresectable or metastatic TNBC who are not candidates for PD-1/PD-L1 inhibitor therapy; FDA reported median PFS of 10.8 vs. 5.6 months, median OS of 23.7 vs. 18.7 months, and ORR of 64% vs. 30% versus chemotherapy. (</w:t>
      </w:r>
      <w:hyperlink r:id="rId6" w:history="1">
        <w:r>
          <w:rPr>
            <w:color w:val="0000EE"/>
            <w:u w:val="single" w:color="0000EE"/>
          </w:rPr>
          <w:t>U.S. Food and Drug Administration</w:t>
        </w:r>
      </w:hyperlink>
      <w:r>
        <w:t>)</w:t>
      </w:r>
    </w:p>
    <w:p>
      <w:pPr>
        <w:spacing w:before="240" w:after="240"/>
      </w:pPr>
      <w:r>
        <w:rPr>
          <w:b/>
          <w:bCs/>
        </w:rPr>
        <w:t>Inference chain:</w:t>
      </w:r>
    </w:p>
    <w:p>
      <w:pPr>
        <w:spacing w:before="240" w:after="240"/>
      </w:pPr>
      <w:r>
        <w:t xml:space="preserve">Step 1: FDA approved a defined 1L metastatic TNBC label with disclosed PFS, OS, and ORR data. </w:t>
      </w:r>
      <w:r>
        <w:rPr>
          <w:b/>
          <w:bCs/>
        </w:rPr>
        <w:t>High.</w:t>
      </w:r>
    </w:p>
    <w:p>
      <w:pPr>
        <w:spacing w:before="240" w:after="240"/>
      </w:pPr>
      <w:r>
        <w:t xml:space="preserve">Step 2: The label is restricted to patients not candidates for PD-1/PD-L1 inhibitors, making line-of-therapy and eligibility context central to comp use. </w:t>
      </w:r>
      <w:r>
        <w:rPr>
          <w:b/>
          <w:bCs/>
        </w:rPr>
        <w:t>High.</w:t>
      </w:r>
    </w:p>
    <w:p>
      <w:pPr>
        <w:spacing w:before="240" w:after="240"/>
      </w:pPr>
      <w:r>
        <w:t xml:space="preserve">Step 3: TROP2 ADC valuation now requires segmentation by label, safety, patient eligibility, and tumor setting. </w:t>
      </w:r>
      <w:r>
        <w:rPr>
          <w:b/>
          <w:bCs/>
        </w:rPr>
        <w:t>Medium — depends on how buyers weight efficacy versus ILD/pneumonitis, ocular, stomatitis, and other label warnings.</w:t>
      </w:r>
    </w:p>
    <w:p>
      <w:pPr>
        <w:spacing w:before="240" w:after="240"/>
      </w:pPr>
      <w:r>
        <w:t xml:space="preserve">→ </w:t>
      </w:r>
      <w:r>
        <w:rPr>
          <w:b/>
          <w:bCs/>
        </w:rPr>
        <w:t>Conclusion:</w:t>
      </w:r>
      <w:r>
        <w:t xml:space="preserve"> Generic "TROP2 ADC" comps are too blunt for TNBC deal pricing. </w:t>
      </w:r>
      <w:r>
        <w:rPr>
          <w:b/>
          <w:bCs/>
        </w:rPr>
        <w:t>Medium.</w:t>
      </w:r>
    </w:p>
    <w:p>
      <w:pPr>
        <w:spacing w:before="240" w:after="240"/>
      </w:pPr>
      <w:r>
        <w:rPr>
          <w:b/>
          <w:bCs/>
        </w:rPr>
        <w:t>So what:</w:t>
      </w:r>
      <w:r>
        <w:t xml:space="preserve"> Standing decisions affected: ADC in-license target identification, comp-set construction, and portfolio prioritization.</w:t>
      </w:r>
    </w:p>
    <w:p>
      <w:pPr>
        <w:spacing w:before="240" w:after="240"/>
      </w:pPr>
      <w:r>
        <w:rPr>
          <w:b/>
          <w:bCs/>
        </w:rPr>
        <w:t>Committee question:</w:t>
      </w:r>
      <w:r>
        <w:t xml:space="preserve"> Are current TROP2 ADC comps separated by PD-1 eligibility, first-line versus later-line use, and safety profile?</w:t>
      </w:r>
    </w:p>
    <w:p>
      <w:pPr>
        <w:spacing w:before="240" w:after="240"/>
      </w:pPr>
      <w:r>
        <w:rPr>
          <w:b/>
          <w:bCs/>
        </w:rPr>
        <w:t>Action — current cycle:</w:t>
      </w:r>
      <w:r>
        <w:t xml:space="preserve"> </w:t>
      </w:r>
      <w:r>
        <w:rPr>
          <w:b/>
          <w:bCs/>
        </w:rPr>
        <w:t>Reprice TNBC TROP2 ADC comps</w:t>
      </w:r>
      <w:r>
        <w:t xml:space="preserve"> into label-specific buckets.</w:t>
      </w:r>
    </w:p>
    <w:p>
      <w:pPr>
        <w:spacing w:before="240" w:after="240"/>
      </w:pPr>
      <w:r>
        <w:rPr>
          <w:b/>
          <w:bCs/>
        </w:rPr>
        <w:t>Confidence — fact:</w:t>
      </w:r>
      <w:r>
        <w:t xml:space="preserve"> High — FDA approval page.</w:t>
      </w:r>
    </w:p>
    <w:p>
      <w:pPr>
        <w:spacing w:before="240" w:after="240"/>
      </w:pPr>
      <w:r>
        <w:rPr>
          <w:b/>
          <w:bCs/>
        </w:rPr>
        <w:t>Confidence — implication:</w:t>
      </w:r>
      <w:r>
        <w:t xml:space="preserve"> Medium — bottleneck is Step 3: buyer weighting of label breadth and safety.</w:t>
      </w:r>
    </w:p>
    <w:p>
      <w:pPr>
        <w:pStyle w:val="Heading1"/>
        <w:keepNext w:val="0"/>
        <w:keepLines w:val="0"/>
        <w:spacing w:before="322" w:after="322"/>
        <w:rPr>
          <w:b/>
          <w:bCs/>
          <w:sz w:val="48"/>
          <w:szCs w:val="48"/>
        </w:rPr>
      </w:pPr>
      <w:r>
        <w:rPr>
          <w:rFonts w:ascii="Times New Roman" w:eastAsia="Times New Roman" w:hAnsi="Times New Roman" w:cs="Times New Roman"/>
          <w:i w:val="0"/>
          <w:color w:val="auto"/>
        </w:rPr>
        <w:t>DEAL STRUCTURE WATCH</w:t>
      </w:r>
    </w:p>
    <w:p>
      <w:pPr>
        <w:spacing w:before="240" w:after="240"/>
      </w:pPr>
      <w:r>
        <w:rPr>
          <w:b/>
          <w:bCs/>
        </w:rPr>
        <w:t>Pressure point — vaccine-platform M&amp;A:</w:t>
      </w:r>
    </w:p>
    <w:p>
      <w:pPr>
        <w:spacing w:before="240" w:after="240"/>
      </w:pPr>
      <w:r>
        <w:t>Buyer-side ask: keep meaningful value in clinical, regulatory, and commercial milestones for pre-approval vaccine assets.</w:t>
      </w:r>
    </w:p>
    <w:p>
      <w:pPr>
        <w:spacing w:before="240" w:after="240"/>
      </w:pPr>
      <w:r>
        <w:t>Seller-side protection: preserve upside where differentiated tolerability, pathogen-risk, or prevention-of-long-term-sequelae is central to the value thesis.</w:t>
      </w:r>
    </w:p>
    <w:p>
      <w:pPr>
        <w:spacing w:before="240" w:after="240"/>
      </w:pPr>
      <w:r>
        <w:t>Source-backed reason: Lilly's three acquisition agreements disclose up-to consideration rather than simple all-cash headline value. (</w:t>
      </w:r>
      <w:hyperlink r:id="rId4" w:history="1">
        <w:r>
          <w:rPr>
            <w:color w:val="0000EE"/>
            <w:u w:val="single" w:color="0000EE"/>
          </w:rPr>
          <w:t>PR Newswire</w:t>
        </w:r>
      </w:hyperlink>
      <w:r>
        <w:t>)</w:t>
      </w:r>
    </w:p>
    <w:p>
      <w:pPr>
        <w:spacing w:before="240" w:after="240"/>
      </w:pPr>
      <w:r>
        <w:rPr>
          <w:b/>
          <w:bCs/>
        </w:rPr>
        <w:t>Confidence:</w:t>
      </w:r>
      <w:r>
        <w:t xml:space="preserve"> Medium.</w:t>
      </w:r>
    </w:p>
    <w:p>
      <w:pPr>
        <w:spacing w:before="240" w:after="240"/>
      </w:pPr>
      <w:r>
        <w:rPr>
          <w:b/>
          <w:bCs/>
        </w:rPr>
        <w:t>Pressure point — obesity term sheets:</w:t>
      </w:r>
    </w:p>
    <w:p>
      <w:pPr>
        <w:spacing w:before="240" w:after="240"/>
      </w:pPr>
      <w:r>
        <w:t>Buyer-side ask: tie value to differentiated profile, not just participation in the obesity category.</w:t>
      </w:r>
    </w:p>
    <w:p>
      <w:pPr>
        <w:spacing w:before="240" w:after="240"/>
      </w:pPr>
      <w:r>
        <w:t>Seller-side protection: isolate differentiation claims — oral route, amylin/glucagon biology, muscle-sparing, tolerability, or specific population advantage — before accepting benchmark compression.</w:t>
      </w:r>
    </w:p>
    <w:p>
      <w:pPr>
        <w:spacing w:before="240" w:after="240"/>
      </w:pPr>
      <w:r>
        <w:t>Source-backed reason: retatrutide's disclosed TRIUMPH-1 results create a higher visible efficacy reference point. (</w:t>
      </w:r>
      <w:hyperlink r:id="rId5" w:history="1">
        <w:r>
          <w:rPr>
            <w:color w:val="0000EE"/>
            <w:u w:val="single" w:color="0000EE"/>
          </w:rPr>
          <w:t>Eli Lilly and Company</w:t>
        </w:r>
      </w:hyperlink>
      <w:r>
        <w:t>)</w:t>
      </w:r>
    </w:p>
    <w:p>
      <w:pPr>
        <w:spacing w:before="240" w:after="240"/>
      </w:pPr>
      <w:r>
        <w:rPr>
          <w:b/>
          <w:bCs/>
        </w:rPr>
        <w:t>Confidence:</w:t>
      </w:r>
      <w:r>
        <w:t xml:space="preserve"> Medium.</w:t>
      </w:r>
    </w:p>
    <w:p>
      <w:pPr>
        <w:spacing w:before="240" w:after="240"/>
      </w:pPr>
      <w:r>
        <w:rPr>
          <w:b/>
          <w:bCs/>
        </w:rPr>
        <w:t>Pressure point — TROP2 ADCs:</w:t>
      </w:r>
    </w:p>
    <w:p>
      <w:pPr>
        <w:spacing w:before="240" w:after="240"/>
      </w:pPr>
      <w:r>
        <w:t>Buyer-side ask: separate milestones by label, tumor type, and line of therapy.</w:t>
      </w:r>
    </w:p>
    <w:p>
      <w:pPr>
        <w:spacing w:before="240" w:after="240"/>
      </w:pPr>
      <w:r>
        <w:t>Seller-side protection: preserve royalties or step-ups for tumor expansion and broader label optionality.</w:t>
      </w:r>
    </w:p>
    <w:p>
      <w:pPr>
        <w:spacing w:before="240" w:after="240"/>
      </w:pPr>
      <w:r>
        <w:t>Source-backed reason: Datroway's FDA label is specific to TNBC patients not eligible for PD-1/PD-L1 inhibitor therapy. (</w:t>
      </w:r>
      <w:hyperlink r:id="rId6" w:history="1">
        <w:r>
          <w:rPr>
            <w:color w:val="0000EE"/>
            <w:u w:val="single" w:color="0000EE"/>
          </w:rPr>
          <w:t>U.S. Food and Drug Administration</w:t>
        </w:r>
      </w:hyperlink>
      <w:r>
        <w:t>)</w:t>
      </w:r>
    </w:p>
    <w:p>
      <w:pPr>
        <w:spacing w:before="240" w:after="240"/>
      </w:pPr>
      <w:r>
        <w:rPr>
          <w:b/>
          <w:bCs/>
        </w:rPr>
        <w:t>Confidence:</w:t>
      </w:r>
      <w:r>
        <w:t xml:space="preserve"> Medium.</w:t>
      </w:r>
    </w:p>
    <w:p>
      <w:pPr>
        <w:pStyle w:val="Heading1"/>
        <w:keepNext w:val="0"/>
        <w:keepLines w:val="0"/>
        <w:spacing w:before="322" w:after="322"/>
        <w:rPr>
          <w:b/>
          <w:bCs/>
          <w:sz w:val="48"/>
          <w:szCs w:val="48"/>
        </w:rPr>
      </w:pPr>
      <w:r>
        <w:rPr>
          <w:rFonts w:ascii="Times New Roman" w:eastAsia="Times New Roman" w:hAnsi="Times New Roman" w:cs="Times New Roman"/>
          <w:i w:val="0"/>
          <w:color w:val="auto"/>
        </w:rPr>
        <w:t>OUTREACH MAP</w:t>
      </w:r>
    </w:p>
    <w:p>
      <w:pPr>
        <w:spacing w:before="240" w:after="240"/>
      </w:pPr>
      <w:r>
        <w:t>Target / categoryWhy nowAllowed internal action</w:t>
      </w:r>
    </w:p>
    <w:p>
      <w:pPr>
        <w:spacing w:before="240" w:after="240"/>
      </w:pPr>
      <w:r>
        <w:t>Differentiated vaccine platforms Lilly created current-cycle prevention M&amp;A comps across shingles, bacterial pathogens, and EBV Add to screen</w:t>
      </w:r>
    </w:p>
    <w:p>
      <w:pPr>
        <w:spacing w:before="240" w:after="240"/>
      </w:pPr>
      <w:r>
        <w:t>Mechanism-differentiated obesity assets Retatrutide raises the benchmark for generic obesity exposure Re-score obesity pipeline</w:t>
      </w:r>
    </w:p>
    <w:p>
      <w:pPr>
        <w:spacing w:before="240" w:after="240"/>
      </w:pPr>
      <w:r>
        <w:t>TROP2 ADCs with TNBC positioning Datroway creates a label-specific comparator Reprice by label segment</w:t>
      </w:r>
    </w:p>
    <w:p>
      <w:pPr>
        <w:spacing w:before="240" w:after="240"/>
      </w:pPr>
      <w:r>
        <w:t>HDV / HBV-adjacent rare virology assets Hepcludex sets the first U.S. HDV reference therapy Remove non-differentiated follow-ons from screen</w:t>
      </w:r>
    </w:p>
    <w:p>
      <w:pPr>
        <w:pStyle w:val="Heading1"/>
        <w:keepNext w:val="0"/>
        <w:keepLines w:val="0"/>
        <w:spacing w:before="322" w:after="322"/>
        <w:rPr>
          <w:b/>
          <w:bCs/>
          <w:sz w:val="48"/>
          <w:szCs w:val="48"/>
        </w:rPr>
      </w:pPr>
      <w:r>
        <w:rPr>
          <w:rFonts w:ascii="Times New Roman" w:eastAsia="Times New Roman" w:hAnsi="Times New Roman" w:cs="Times New Roman"/>
          <w:i w:val="0"/>
          <w:color w:val="auto"/>
        </w:rPr>
        <w:t>SECOND TIER — 4 ITEMS</w:t>
      </w:r>
    </w:p>
    <w:p>
      <w:pPr>
        <w:spacing w:before="240" w:after="240"/>
      </w:pPr>
      <w:r>
        <w:rPr>
          <w:b/>
          <w:bCs/>
        </w:rPr>
        <w:t>Hepcludex first HDV approval — 2026-05-22</w:t>
      </w:r>
    </w:p>
    <w:p>
      <w:pPr>
        <w:spacing w:before="240" w:after="240"/>
      </w:pPr>
      <w:r>
        <w:t xml:space="preserve">FDA approved Hepcludex as the first treatment for chronic HDV infection in adults without cirrhosis or with compensated cirrhosis. Action: </w:t>
      </w:r>
      <w:r>
        <w:rPr>
          <w:b/>
          <w:bCs/>
        </w:rPr>
        <w:t>refresh HDV/HBV antiviral screen</w:t>
      </w:r>
      <w:r>
        <w:t xml:space="preserve"> for oral, combination, cirrhosis-expansion, or functional-cure positioning. (</w:t>
      </w:r>
      <w:hyperlink r:id="rId7" w:history="1">
        <w:r>
          <w:rPr>
            <w:color w:val="0000EE"/>
            <w:u w:val="single" w:color="0000EE"/>
          </w:rPr>
          <w:t>U.S. Food and Drug Administration</w:t>
        </w:r>
      </w:hyperlink>
      <w:r>
        <w:t>)</w:t>
      </w:r>
    </w:p>
    <w:p>
      <w:pPr>
        <w:spacing w:before="240" w:after="240"/>
      </w:pPr>
      <w:r>
        <w:rPr>
          <w:b/>
          <w:bCs/>
        </w:rPr>
        <w:t>BioMarin VOXZOGO expansion data — 2026-05-20</w:t>
      </w:r>
    </w:p>
    <w:p>
      <w:pPr>
        <w:spacing w:before="240" w:after="240"/>
      </w:pPr>
      <w:r>
        <w:t xml:space="preserve">BioMarin reported Phase 3 hypochondroplasia data with +2.33 cm/year AGV versus placebo and planned sNDA submission in Q3 2026. Action: </w:t>
      </w:r>
      <w:r>
        <w:rPr>
          <w:b/>
          <w:bCs/>
        </w:rPr>
        <w:t>model label-expansion value</w:t>
      </w:r>
      <w:r>
        <w:t xml:space="preserve"> for rare skeletal-dysplasia franchises. (</w:t>
      </w:r>
      <w:hyperlink r:id="rId8" w:history="1">
        <w:r>
          <w:rPr>
            <w:color w:val="0000EE"/>
            <w:u w:val="single" w:color="0000EE"/>
          </w:rPr>
          <w:t>BioMarin Investors</w:t>
        </w:r>
      </w:hyperlink>
      <w:r>
        <w:t>)</w:t>
      </w:r>
    </w:p>
    <w:p>
      <w:pPr>
        <w:spacing w:before="240" w:after="240"/>
      </w:pPr>
      <w:r>
        <w:rPr>
          <w:b/>
          <w:bCs/>
        </w:rPr>
        <w:t>Outlook FDR appeal win — 2026-05-26</w:t>
      </w:r>
    </w:p>
    <w:p>
      <w:pPr>
        <w:spacing w:before="240" w:after="240"/>
      </w:pPr>
      <w:r>
        <w:t xml:space="preserve">Outlook said FDA granted its appeal following FDR and concluded substantial evidence of effectiveness had been established for LYTENAVA in nAMD; company plans a June 2026 BLA resubmission. Action: </w:t>
      </w:r>
      <w:r>
        <w:rPr>
          <w:b/>
          <w:bCs/>
        </w:rPr>
        <w:t>refresh ophthalmic-bevacizumab competitive map; defer external outreach until PDUFA timing is set.</w:t>
      </w:r>
      <w:r>
        <w:t xml:space="preserve"> (</w:t>
      </w:r>
      <w:hyperlink r:id="rId9" w:history="1">
        <w:r>
          <w:rPr>
            <w:color w:val="0000EE"/>
            <w:u w:val="single" w:color="0000EE"/>
          </w:rPr>
          <w:t>GlobeNewswire</w:t>
        </w:r>
      </w:hyperlink>
      <w:r>
        <w:t>)</w:t>
      </w:r>
    </w:p>
    <w:p>
      <w:pPr>
        <w:spacing w:before="240" w:after="240"/>
      </w:pPr>
      <w:r>
        <w:rPr>
          <w:b/>
          <w:bCs/>
        </w:rPr>
        <w:t>Sac-TMT validates endometrial TROP2 ADC optionality — 2026-05-18</w:t>
      </w:r>
    </w:p>
    <w:p>
      <w:pPr>
        <w:spacing w:before="240" w:after="240"/>
      </w:pPr>
      <w:r>
        <w:t xml:space="preserve">Merck said sac-TMT met OS and PFS endpoints in Phase 3 endometrial cancer, the first global Phase 3 TROP2 ADC trial to demonstrate both in that setting. Action: </w:t>
      </w:r>
      <w:r>
        <w:rPr>
          <w:b/>
          <w:bCs/>
        </w:rPr>
        <w:t>pull China-origin/global-rights ADC comp rows</w:t>
      </w:r>
      <w:r>
        <w:t xml:space="preserve"> for label-expansion analysis. (</w:t>
      </w:r>
      <w:hyperlink r:id="rId10" w:history="1">
        <w:r>
          <w:rPr>
            <w:color w:val="0000EE"/>
            <w:u w:val="single" w:color="0000EE"/>
          </w:rPr>
          <w:t>Merck.com</w:t>
        </w:r>
      </w:hyperlink>
      <w:r>
        <w:t>)</w:t>
      </w:r>
    </w:p>
    <w:p>
      <w:pPr>
        <w:pStyle w:val="Heading1"/>
        <w:keepNext w:val="0"/>
        <w:keepLines w:val="0"/>
        <w:spacing w:before="322" w:after="322"/>
        <w:rPr>
          <w:b/>
          <w:bCs/>
          <w:sz w:val="48"/>
          <w:szCs w:val="48"/>
        </w:rPr>
      </w:pPr>
      <w:r>
        <w:rPr>
          <w:rFonts w:ascii="Times New Roman" w:eastAsia="Times New Roman" w:hAnsi="Times New Roman" w:cs="Times New Roman"/>
          <w:i w:val="0"/>
          <w:color w:val="auto"/>
        </w:rPr>
        <w:t>WATCH LIST</w:t>
      </w:r>
    </w:p>
    <w:p>
      <w:pPr>
        <w:spacing w:before="240" w:after="240"/>
      </w:pPr>
      <w:r>
        <w:rPr>
          <w:b/>
          <w:bCs/>
        </w:rPr>
        <w:t>EMA CHMP May opinions — 2026-05-22:</w:t>
      </w:r>
      <w:r>
        <w:t xml:space="preserve"> broad regulatory relevance, but action is diffuse across unrelated classes; keep item-specific analysis out of TOP unless a single comp set moves.</w:t>
      </w:r>
    </w:p>
    <w:p>
      <w:pPr>
        <w:spacing w:before="240" w:after="240"/>
      </w:pPr>
      <w:r>
        <w:rPr>
          <w:b/>
          <w:bCs/>
        </w:rPr>
        <w:t>Regeneron fianlimab melanoma miss — 2026-05-15:</w:t>
      </w:r>
      <w:r>
        <w:t xml:space="preserve"> useful for LAG-3 melanoma comp cleanup, but outside the core current-cycle window for broad coverage.</w:t>
      </w:r>
    </w:p>
    <w:p>
      <w:pPr>
        <w:spacing w:before="240" w:after="240"/>
      </w:pPr>
      <w:r>
        <w:rPr>
          <w:b/>
          <w:bCs/>
        </w:rPr>
        <w:t>Enhertu early breast cancer approvals — 2026-05-15:</w:t>
      </w:r>
      <w:r>
        <w:t xml:space="preserve"> important ADC platform context, but better used as a precedent-table row unless the issue's ADC thesis is broadened beyond TNBC/TROP2.</w:t>
      </w:r>
    </w:p>
    <w:p>
      <w:pPr>
        <w:pStyle w:val="Heading1"/>
        <w:keepNext w:val="0"/>
        <w:keepLines w:val="0"/>
        <w:spacing w:before="322" w:after="322"/>
        <w:rPr>
          <w:b/>
          <w:bCs/>
          <w:sz w:val="48"/>
          <w:szCs w:val="48"/>
        </w:rPr>
      </w:pPr>
      <w:r>
        <w:rPr>
          <w:rFonts w:ascii="Times New Roman" w:eastAsia="Times New Roman" w:hAnsi="Times New Roman" w:cs="Times New Roman"/>
          <w:i w:val="0"/>
          <w:color w:val="auto"/>
        </w:rPr>
        <w:t>PRECEDENT TABLE — ACTIVE COMPS THIS CYCLE</w:t>
      </w:r>
    </w:p>
    <w:p>
      <w:pPr>
        <w:spacing w:before="240" w:after="240"/>
      </w:pPr>
      <w:r>
        <w:t>Asset / dealClassTerms / outcomeUse as</w:t>
      </w:r>
    </w:p>
    <w:p>
      <w:pPr>
        <w:spacing w:before="240" w:after="240"/>
      </w:pPr>
      <w:r>
        <w:t>Curevo / Lilly Shingles vaccine Up to $1.5B cash including upfront and milestone payment Vaccine tolerability-differentiation comp</w:t>
      </w:r>
    </w:p>
    <w:p>
      <w:pPr>
        <w:spacing w:before="240" w:after="240"/>
      </w:pPr>
      <w:r>
        <w:t>LimmaTech / Lilly Bacterial-pathogen vaccines Up to $780M reported transaction value AMR / prevention-platform comp</w:t>
      </w:r>
    </w:p>
    <w:p>
      <w:pPr>
        <w:spacing w:before="240" w:after="240"/>
      </w:pPr>
      <w:r>
        <w:t>Vaccine Company / Lilly EBV vaccine platform Up to $1.55B cash including upfront and milestone payments Viral-pathogen prevention comp</w:t>
      </w:r>
    </w:p>
    <w:p>
      <w:pPr>
        <w:spacing w:before="240" w:after="240"/>
      </w:pPr>
      <w:r>
        <w:t>Datroway FDA approval TROP2 ADC / TNBC FDA-approved label with PFS, OS, ORR data Label-specific ADC comparator</w:t>
      </w:r>
    </w:p>
    <w:p>
      <w:pPr>
        <w:spacing w:before="240" w:after="240"/>
      </w:pPr>
      <w:r>
        <w:t>Hepcludex FDA approval HDV / rare virology First FDA-approved chronic HDV therapy Reference standard for follow-on HDV assets</w:t>
      </w:r>
    </w:p>
    <w:p>
      <w:pPr>
        <w:spacing w:before="240" w:after="240"/>
      </w:pPr>
      <w:r>
        <w:t>Sources: Lilly/company transaction releases, Reuters transaction reporting, FDA approval pages. (</w:t>
      </w:r>
      <w:hyperlink r:id="rId11" w:history="1">
        <w:r>
          <w:rPr>
            <w:color w:val="0000EE"/>
            <w:u w:val="single" w:color="0000EE"/>
          </w:rPr>
          <w:t>GlobeNewswire</w:t>
        </w:r>
      </w:hyperlink>
      <w:r>
        <w:t>)</w:t>
      </w:r>
    </w:p>
    <w:p>
      <w:pPr>
        <w:pStyle w:val="Heading1"/>
        <w:keepNext w:val="0"/>
        <w:keepLines w:val="0"/>
        <w:spacing w:before="322" w:after="322"/>
        <w:rPr>
          <w:b/>
          <w:bCs/>
          <w:sz w:val="48"/>
          <w:szCs w:val="48"/>
        </w:rPr>
      </w:pPr>
      <w:r>
        <w:rPr>
          <w:rFonts w:ascii="Times New Roman" w:eastAsia="Times New Roman" w:hAnsi="Times New Roman" w:cs="Times New Roman"/>
          <w:i w:val="0"/>
          <w:color w:val="auto"/>
        </w:rPr>
        <w:t>MISPRICING FLAG</w:t>
      </w:r>
    </w:p>
    <w:p>
      <w:pPr>
        <w:spacing w:before="240" w:after="240"/>
      </w:pPr>
      <w:r>
        <w:rPr>
          <w:b/>
          <w:bCs/>
        </w:rPr>
        <w:t>Named claim:</w:t>
      </w:r>
      <w:r>
        <w:t xml:space="preserve"> Liminatus described its proposed InnocsAI merger as having an implied transaction value of approximately $320M.</w:t>
      </w:r>
    </w:p>
    <w:p>
      <w:pPr>
        <w:spacing w:before="240" w:after="240"/>
      </w:pPr>
      <w:r>
        <w:rPr>
          <w:b/>
          <w:bCs/>
        </w:rPr>
        <w:t>Disclosed fact:</w:t>
      </w:r>
      <w:r>
        <w:t xml:space="preserve"> The consideration consists of 1.6B newly issued Liminatus shares at $0.20 per share plus CVRs tied to 20% of future net proceeds from certain strategic transactions. The SEC filing also states that Valetudo Therapeutics is an InnocsAI member and that Liminatus CEO Chris Kim is CEO and controlling member of Valetudo. (</w:t>
      </w:r>
      <w:hyperlink r:id="rId12" w:history="1">
        <w:r>
          <w:rPr>
            <w:color w:val="0000EE"/>
            <w:u w:val="single" w:color="0000EE"/>
          </w:rPr>
          <w:t>GlobeNewswire</w:t>
        </w:r>
      </w:hyperlink>
      <w:r>
        <w:t>)</w:t>
      </w:r>
    </w:p>
    <w:p>
      <w:pPr>
        <w:spacing w:before="240" w:after="240"/>
      </w:pPr>
      <w:r>
        <w:rPr>
          <w:b/>
          <w:bCs/>
        </w:rPr>
        <w:t>Additional context:</w:t>
      </w:r>
      <w:r>
        <w:t xml:space="preserve"> Liminatus also announced a Nasdaq delisting notice shortly after the merger announcement. (</w:t>
      </w:r>
      <w:hyperlink r:id="rId13" w:history="1">
        <w:r>
          <w:rPr>
            <w:color w:val="0000EE"/>
            <w:u w:val="single" w:color="0000EE"/>
          </w:rPr>
          <w:t>Nasdaq</w:t>
        </w:r>
      </w:hyperlink>
      <w:r>
        <w:t>)</w:t>
      </w:r>
    </w:p>
    <w:p>
      <w:pPr>
        <w:spacing w:before="240" w:after="240"/>
      </w:pPr>
      <w:r>
        <w:rPr>
          <w:b/>
          <w:bCs/>
        </w:rPr>
        <w:t>Pricing implication:</w:t>
      </w:r>
      <w:r>
        <w:t xml:space="preserve"> Do </w:t>
      </w:r>
      <w:r>
        <w:rPr>
          <w:b/>
          <w:bCs/>
        </w:rPr>
        <w:t>not</w:t>
      </w:r>
      <w:r>
        <w:t xml:space="preserve"> treat the $320M headline as a clean CAR-T comp without discounting for stock consideration, related-party structure, share-price context, and listing risk.</w:t>
      </w:r>
    </w:p>
    <w:p>
      <w:pPr>
        <w:pStyle w:val="Heading1"/>
        <w:keepNext w:val="0"/>
        <w:keepLines w:val="0"/>
        <w:spacing w:before="322" w:after="322"/>
        <w:rPr>
          <w:b/>
          <w:bCs/>
          <w:sz w:val="48"/>
          <w:szCs w:val="48"/>
        </w:rPr>
      </w:pP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ql-ui">
    <w:name w:val="ql-ui"/>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erck.com/news/merck-announces-trofuse-005-trial-evaluating-sacituzumab-tirumotecan-sac-tmt-met-primary-endpoints-of-overall-survival-os-and-progression-free-survival-pfs-in-certain-patients-with-advanced-or-r/?utm_source=chatgpt.com" TargetMode="External" /><Relationship Id="rId11" Type="http://schemas.openxmlformats.org/officeDocument/2006/relationships/hyperlink" Target="https://www.globenewswire.com/news-release/2026/05/26/3300914/0/en/curevo-to-be-acquired-by-lilly-to-advance-next-generation-shingles-prevention.html?utm_source=chatgpt.com" TargetMode="External" /><Relationship Id="rId12" Type="http://schemas.openxmlformats.org/officeDocument/2006/relationships/hyperlink" Target="https://www.globenewswire.com/news-release/2026/05/21/3299881/0/en/Liminatus-Pharma-Announces-Proposed-Merger-with-InnocsAI-to-Expand-Oncology-Cell-Therapy-Pipeline.html?utm_source=chatgpt.com" TargetMode="External" /><Relationship Id="rId13" Type="http://schemas.openxmlformats.org/officeDocument/2006/relationships/hyperlink" Target="https://www.nasdaq.com/press-release/liminatus-pharma-announces-nasdaq-delisting-notification-2026-05-22?utm_source=chatgpt.com"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prnewswire.com/news-releases/lilly-announces-three-acquisitions-to-build-infectious-disease-portfolio-302781404.html?utm_source=chatgpt.com" TargetMode="External" /><Relationship Id="rId5" Type="http://schemas.openxmlformats.org/officeDocument/2006/relationships/hyperlink" Target="https://investor.lilly.com/news-releases/news-release-details/lillys-triple-agonist-retatrutide-delivered-powerful-weight-loss?utm_source=chatgpt.com" TargetMode="External" /><Relationship Id="rId6" Type="http://schemas.openxmlformats.org/officeDocument/2006/relationships/hyperlink" Target="https://www.fda.gov/drugs/resources-information-approved-drugs/fda-approves-datopotamab-deruxtecan-dlnk-unresectable-or-metastatic-triple-negative-breast-cancer" TargetMode="External" /><Relationship Id="rId7" Type="http://schemas.openxmlformats.org/officeDocument/2006/relationships/hyperlink" Target="https://www.fda.gov/news-events/press-announcements/fda-approves-first-treatment-chronic-hepatitis-delta-virus-hdv-infection?utm_source=chatgpt.com" TargetMode="External" /><Relationship Id="rId8" Type="http://schemas.openxmlformats.org/officeDocument/2006/relationships/hyperlink" Target="https://investors.biomarin.com/news/news-details/2026/BioMarin-Announces-Positive-Phase-3-Pivotal-Study-Results-for-VOXZOGO-vosoritide-in-Children-with-Hypochondroplasia/default.aspx?utm_source=chatgpt.com" TargetMode="External" /><Relationship Id="rId9" Type="http://schemas.openxmlformats.org/officeDocument/2006/relationships/hyperlink" Target="https://www.globenewswire.com/news-release/2026/05/26/3300933/0/en/outlook-therapeutics-wins-appeal-following-formal-dispute-resolution-process-for-ons-5010-lytenava-bevacizumab-vikg.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