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— Institution Interest Split — Handoff Note</w:t>
      </w:r>
    </w:p>
    <w:p/>
    <w:p>
      <w:r>
        <w:rPr>
          <w:b/>
        </w:rPr>
        <w:t>Branch:</w:t>
      </w:r>
      <w:r>
        <w:t xml:space="preserve"> </w:t>
      </w:r>
      <w:r>
        <w:rPr>
          <w:rFonts w:ascii="Consolas" w:hAnsi="Consolas"/>
        </w:rPr>
        <w:t>wip/institution-interest-split</w:t>
      </w:r>
    </w:p>
    <w:p>
      <w:r>
        <w:rPr>
          <w:b/>
        </w:rPr>
        <w:t>Date:</w:t>
      </w:r>
      <w:r>
        <w:t xml:space="preserve"> 2026-08-09</w:t>
      </w:r>
    </w:p>
    <w:p>
      <w:r>
        <w:rPr>
          <w:b/>
        </w:rPr>
        <w:t>Status:</w:t>
      </w:r>
      <w:r>
        <w:t xml:space="preserve"> Schema draft + migration + feature flag on branch. </w:t>
      </w:r>
      <w:r>
        <w:rPr>
          <w:b/>
        </w:rPr>
        <w:t>Not applied to any database yet.</w:t>
      </w:r>
      <w:r>
        <w:t xml:space="preserve"> Awaiting user review.</w:t>
      </w:r>
    </w:p>
    <w:p/>
    <w:p/>
    <w:p/>
    <w:p>
      <w:pPr>
        <w:pStyle w:val="Heading2"/>
      </w:pPr>
      <w:r>
        <w:t>What's on this branch</w:t>
      </w:r>
    </w:p>
    <w:p/>
    <w:p>
      <w:r>
        <w:rPr>
          <w:rFonts w:ascii="Consolas" w:hAnsi="Consolas"/>
          <w:sz w:val="18"/>
        </w:rPr>
        <w:t>M prisma/schema.prisma                                  (+132 lines, additive)</w:t>
        <w:br/>
        <w:t>A prisma/manual/012-institution-interest-split.sql     (backfill migration)</w:t>
        <w:br/>
        <w:t>A lib/feature-flags.ts                                  (FEATURE_MULTI_INSTITUTION_INTEREST)</w:t>
        <w:br/>
        <w:t>A docs/gap-analysis.md                                  (Phase 0 output)</w:t>
        <w:br/>
        <w:t>A docs/architecture-redesign-decisions.md               (Phase 0 output)</w:t>
      </w:r>
    </w:p>
    <w:p/>
    <w:p>
      <w:r>
        <w:t>Nothing else in the codebase has been touched. No API route, no UI component, no cron script. That's deliberate — Phase 1 lands the *foundation* (a table with rows, an enum, and back-refs on the child tables) without changing any current behaviour.</w:t>
      </w:r>
    </w:p>
    <w:p/>
    <w:p/>
    <w:p/>
    <w:p>
      <w:pPr>
        <w:pStyle w:val="Heading2"/>
      </w:pPr>
      <w:r>
        <w:t>What's SAFE about this change</w:t>
      </w:r>
    </w:p>
    <w:p/>
    <w:p>
      <w:pPr>
        <w:pStyle w:val="ListBullet"/>
      </w:pPr>
      <w:r>
        <w:rPr>
          <w:b/>
        </w:rPr>
        <w:t>Purely additive.</w:t>
      </w:r>
      <w:r>
        <w:t xml:space="preserve"> No column drops, no data mutation of </w:t>
      </w:r>
      <w:r>
        <w:rPr>
          <w:rFonts w:ascii="Consolas" w:hAnsi="Consolas"/>
        </w:rPr>
        <w:t>leads.*</w:t>
      </w:r>
      <w:r>
        <w:t xml:space="preserve"> rows, no enum renames. Every existing reader keeps working unchanged.</w:t>
      </w:r>
    </w:p>
    <w:p>
      <w:pPr>
        <w:pStyle w:val="ListBullet"/>
      </w:pPr>
      <w:r>
        <w:rPr>
          <w:b/>
        </w:rPr>
        <w:t>Prisma schema validates</w:t>
      </w:r>
      <w:r>
        <w:t xml:space="preserve"> (</w:t>
      </w:r>
      <w:r>
        <w:rPr>
          <w:rFonts w:ascii="Consolas" w:hAnsi="Consolas"/>
        </w:rPr>
        <w:t>npx prisma validate</w:t>
      </w:r>
      <w:r>
        <w:t xml:space="preserve"> — clean).</w:t>
      </w:r>
    </w:p>
    <w:p>
      <w:pPr>
        <w:pStyle w:val="ListBullet"/>
      </w:pPr>
      <w:r>
        <w:rPr>
          <w:b/>
        </w:rPr>
        <w:t>TypeScript compiles</w:t>
      </w:r>
      <w:r>
        <w:t xml:space="preserve"> (</w:t>
      </w:r>
      <w:r>
        <w:rPr>
          <w:rFonts w:ascii="Consolas" w:hAnsi="Consolas"/>
        </w:rPr>
        <w:t>npx tsc --noEmit</w:t>
      </w:r>
      <w:r>
        <w:t xml:space="preserve"> — clean).</w:t>
      </w:r>
    </w:p>
    <w:p>
      <w:pPr>
        <w:pStyle w:val="ListBullet"/>
      </w:pPr>
      <w:r>
        <w:rPr>
          <w:b/>
        </w:rPr>
        <w:t>Backout is a single migration</w:t>
      </w:r>
      <w:r>
        <w:t xml:space="preserve"> (drop the new column on 3 tables, drop the new table, drop the new enum). No lead data is at risk.</w:t>
      </w:r>
    </w:p>
    <w:p>
      <w:pPr>
        <w:pStyle w:val="ListBullet"/>
      </w:pPr>
      <w:r>
        <w:rPr>
          <w:b/>
        </w:rPr>
        <w:t>Feature flag defaults OFF.</w:t>
      </w:r>
      <w:r>
        <w:t xml:space="preserve"> Until someone sets </w:t>
      </w:r>
      <w:r>
        <w:rPr>
          <w:rFonts w:ascii="Consolas" w:hAnsi="Consolas"/>
        </w:rPr>
        <w:t>FEATURE_MULTI_INSTITUTION_INTEREST=true</w:t>
      </w:r>
      <w:r>
        <w:t>, the split is invisible to users.</w:t>
      </w:r>
    </w:p>
    <w:p/>
    <w:p/>
    <w:p/>
    <w:p>
      <w:pPr>
        <w:pStyle w:val="Heading2"/>
      </w:pPr>
      <w:r>
        <w:t>What needs your review BEFORE the migration runs</w:t>
      </w:r>
    </w:p>
    <w:p/>
    <w:p>
      <w:pPr>
        <w:pStyle w:val="ListNumber"/>
      </w:pPr>
      <w:r>
        <w:rPr>
          <w:b/>
        </w:rPr>
        <w:t>The schema addition</w:t>
      </w:r>
      <w:r>
        <w:t xml:space="preserve"> (</w:t>
      </w:r>
      <w:r>
        <w:rPr>
          <w:rFonts w:ascii="Consolas" w:hAnsi="Consolas"/>
        </w:rPr>
        <w:t>prisma/schema.prisma</w:t>
      </w:r>
      <w:r>
        <w:t xml:space="preserve">) — look at the new </w:t>
      </w:r>
      <w:r>
        <w:rPr>
          <w:rFonts w:ascii="Consolas" w:hAnsi="Consolas"/>
        </w:rPr>
        <w:t>InstitutionInterest</w:t>
      </w:r>
      <w:r>
        <w:t xml:space="preserve"> model (around line 819). Field choices to sanity-check:</w:t>
      </w:r>
    </w:p>
    <w:p>
      <w:pPr>
        <w:pStyle w:val="ListBullet2"/>
      </w:pPr>
      <w:r>
        <w:rPr>
          <w:rFonts w:ascii="Consolas" w:hAnsi="Consolas"/>
        </w:rPr>
        <w:t>program</w:t>
      </w:r>
      <w:r>
        <w:t xml:space="preserve"> is nullable — a student can express interest in an institution before choosing a programme (Qualified stage sets it). Correct?</w:t>
      </w:r>
    </w:p>
    <w:p>
      <w:pPr>
        <w:pStyle w:val="ListBullet2"/>
      </w:pPr>
      <w:r>
        <w:rPr>
          <w:rFonts w:ascii="Consolas" w:hAnsi="Consolas"/>
        </w:rPr>
        <w:t>intakeYear</w:t>
      </w:r>
      <w:r>
        <w:t>/</w:t>
      </w:r>
      <w:r>
        <w:rPr>
          <w:rFonts w:ascii="Consolas" w:hAnsi="Consolas"/>
        </w:rPr>
        <w:t>intakeMonth</w:t>
      </w:r>
      <w:r>
        <w:t>/</w:t>
      </w:r>
      <w:r>
        <w:rPr>
          <w:rFonts w:ascii="Consolas" w:hAnsi="Consolas"/>
        </w:rPr>
        <w:t>studyLevel</w:t>
      </w:r>
      <w:r>
        <w:t xml:space="preserve"> are </w:t>
      </w:r>
      <w:r>
        <w:rPr>
          <w:b/>
        </w:rPr>
        <w:t>copied from the Lead at creation</w:t>
      </w:r>
      <w:r>
        <w:t xml:space="preserve"> but can diverge per interest (UK Sep 2027 vs AU Feb 2027 for the same student). Correct?</w:t>
      </w:r>
    </w:p>
    <w:p>
      <w:pPr>
        <w:pStyle w:val="ListBullet2"/>
      </w:pPr>
      <w:r>
        <w:rPr>
          <w:rFonts w:ascii="Consolas" w:hAnsi="Consolas"/>
        </w:rPr>
        <w:t>assignedICRId</w:t>
      </w:r>
      <w:r>
        <w:t xml:space="preserve"> on the interest can differ from </w:t>
      </w:r>
      <w:r>
        <w:rPr>
          <w:rFonts w:ascii="Consolas" w:hAnsi="Consolas"/>
        </w:rPr>
        <w:t>Lead.assignedICRId</w:t>
      </w:r>
      <w:r>
        <w:t>. Correct?</w:t>
      </w:r>
    </w:p>
    <w:p>
      <w:pPr>
        <w:pStyle w:val="ListBullet2"/>
      </w:pPr>
      <w:r>
        <w:rPr>
          <w:rFonts w:ascii="Consolas" w:hAnsi="Consolas"/>
        </w:rPr>
        <w:t>closedAt</w:t>
      </w:r>
      <w:r>
        <w:t xml:space="preserve"> + partial-unique-index is how a student's rejected UofT interest can be closed and a fresh one opened for the next intake — history preserved rather than overwritten. Confirm this is the model you want.</w:t>
      </w:r>
    </w:p>
    <w:p/>
    <w:p>
      <w:pPr>
        <w:pStyle w:val="ListNumber"/>
      </w:pPr>
      <w:r>
        <w:rPr>
          <w:b/>
        </w:rPr>
        <w:t>The migration SQL</w:t>
      </w:r>
      <w:r>
        <w:t xml:space="preserve"> (</w:t>
      </w:r>
      <w:r>
        <w:rPr>
          <w:rFonts w:ascii="Consolas" w:hAnsi="Consolas"/>
        </w:rPr>
        <w:t>prisma/manual/012-institution-interest-split.sql</w:t>
      </w:r>
      <w:r>
        <w:t>) — heavy comments explain each step. Key decisions embedded:</w:t>
      </w:r>
    </w:p>
    <w:p>
      <w:pPr>
        <w:pStyle w:val="ListBullet2"/>
      </w:pPr>
      <w:r>
        <w:t xml:space="preserve">Only </w:t>
      </w:r>
      <w:r>
        <w:rPr>
          <w:b/>
        </w:rPr>
        <w:t>active</w:t>
      </w:r>
      <w:r>
        <w:t xml:space="preserve"> leads with </w:t>
      </w:r>
      <w:r>
        <w:rPr>
          <w:rFonts w:ascii="Consolas" w:hAnsi="Consolas"/>
        </w:rPr>
        <w:t>institutionId IS NOT NULL</w:t>
      </w:r>
      <w:r>
        <w:t xml:space="preserve"> get a backfilled interest. Leads without an institution (early NEW_LEAD, some CONTACTED) stay stage-tracked on </w:t>
      </w:r>
      <w:r>
        <w:rPr>
          <w:rFonts w:ascii="Consolas" w:hAnsi="Consolas"/>
        </w:rPr>
        <w:t>leads.stage</w:t>
      </w:r>
      <w:r>
        <w:t xml:space="preserve"> in this phase and get zero interests. </w:t>
      </w:r>
      <w:r>
        <w:rPr>
          <w:b/>
        </w:rPr>
        <w:t>Confirm this is right</w:t>
      </w:r>
      <w:r>
        <w:t xml:space="preserve"> — the alternative is creating a "placeholder" interest with a null institution, which I think is worse.</w:t>
      </w:r>
    </w:p>
    <w:p>
      <w:pPr>
        <w:pStyle w:val="ListBullet2"/>
      </w:pPr>
      <w:r>
        <w:t xml:space="preserve">Backfilled interests for closed leads (LOST, DEFERRED, APPLICATION_REJECTED, ENROLLED) get </w:t>
      </w:r>
      <w:r>
        <w:rPr>
          <w:rFonts w:ascii="Consolas" w:hAnsi="Consolas"/>
        </w:rPr>
        <w:t>closedAt = updatedAt</w:t>
      </w:r>
      <w:r>
        <w:t xml:space="preserve"> so they land already-closed, not spuriously open.</w:t>
      </w:r>
    </w:p>
    <w:p>
      <w:pPr>
        <w:pStyle w:val="ListBullet2"/>
      </w:pPr>
      <w:r>
        <w:rPr>
          <w:rFonts w:ascii="Consolas" w:hAnsi="Consolas"/>
        </w:rPr>
        <w:t>lead_activities.institutionInterestId</w:t>
      </w:r>
      <w:r>
        <w:t xml:space="preserve"> and </w:t>
      </w:r>
      <w:r>
        <w:rPr>
          <w:rFonts w:ascii="Consolas" w:hAnsi="Consolas"/>
        </w:rPr>
        <w:t>lead_checklist_items.institutionInterestId</w:t>
      </w:r>
      <w:r>
        <w:t xml:space="preserve"> are only backfilled when a lead has </w:t>
      </w:r>
      <w:r>
        <w:rPr>
          <w:b/>
        </w:rPr>
        <w:t>exactly one</w:t>
      </w:r>
      <w:r>
        <w:t xml:space="preserve"> interest — safest guess. Multi-interest students will exist post-cutover but there are zero today, so this covers 100% of current rows.</w:t>
      </w:r>
    </w:p>
    <w:p>
      <w:pPr>
        <w:pStyle w:val="ListBullet2"/>
      </w:pPr>
      <w:r>
        <w:t>Parity check in step 6 fails loudly and rolls back the transaction if the interest count doesn't match the expected lead count.</w:t>
      </w:r>
    </w:p>
    <w:p/>
    <w:p>
      <w:pPr>
        <w:pStyle w:val="ListNumber"/>
      </w:pPr>
      <w:r>
        <w:rPr>
          <w:b/>
        </w:rPr>
        <w:t>The audit-log row types</w:t>
      </w:r>
      <w:r>
        <w:t xml:space="preserve"> — I invented two new action strings: </w:t>
      </w:r>
      <w:r>
        <w:rPr>
          <w:rFonts w:ascii="Consolas" w:hAnsi="Consolas"/>
        </w:rPr>
        <w:t>INSTITUTION_INTEREST_SPLIT_PREFLIGHT</w:t>
      </w:r>
      <w:r>
        <w:t xml:space="preserve"> and </w:t>
      </w:r>
      <w:r>
        <w:rPr>
          <w:rFonts w:ascii="Consolas" w:hAnsi="Consolas"/>
        </w:rPr>
        <w:t>INSTITUTION_INTEREST_SPLIT_COMPLETE</w:t>
      </w:r>
      <w:r>
        <w:t xml:space="preserve">. These follow the pattern established by </w:t>
      </w:r>
      <w:r>
        <w:rPr>
          <w:rFonts w:ascii="Consolas" w:hAnsi="Consolas"/>
        </w:rPr>
        <w:t>LEAD_NAMES_PRE_SPLIT_SNAPSHOT</w:t>
      </w:r>
      <w:r>
        <w:t xml:space="preserve"> from migration 009. Confirm you're happy with that naming.</w:t>
      </w:r>
    </w:p>
    <w:p/>
    <w:p/>
    <w:p/>
    <w:p>
      <w:pPr>
        <w:pStyle w:val="Heading2"/>
      </w:pPr>
      <w:r>
        <w:t>Decision #9 reminder — demo leads</w:t>
      </w:r>
    </w:p>
    <w:p/>
    <w:p>
      <w:r>
        <w:t xml:space="preserve">The plan calls for purging the 52 demo leads before Phase 1 runs on prod. </w:t>
      </w:r>
      <w:r>
        <w:rPr>
          <w:b/>
        </w:rPr>
        <w:t>I have not written the purge script yet</w:t>
      </w:r>
      <w:r>
        <w:t xml:space="preserve"> — that's a separate small piece of work and I'd rather do it once you've confirmed the migration itself is what you want.</w:t>
      </w:r>
    </w:p>
    <w:p/>
    <w:p>
      <w:r>
        <w:t>If you want, next steps are (in order):</w:t>
      </w:r>
    </w:p>
    <w:p/>
    <w:p>
      <w:pPr>
        <w:pStyle w:val="ListNumber"/>
      </w:pPr>
      <w:r>
        <w:t>You review the schema + migration on this branch.</w:t>
      </w:r>
    </w:p>
    <w:p>
      <w:pPr>
        <w:pStyle w:val="ListNumber"/>
      </w:pPr>
      <w:r>
        <w:t xml:space="preserve">I write </w:t>
      </w:r>
      <w:r>
        <w:rPr>
          <w:rFonts w:ascii="Consolas" w:hAnsi="Consolas"/>
        </w:rPr>
        <w:t>scripts/purge-demo-data.ts</w:t>
      </w:r>
      <w:r>
        <w:t xml:space="preserve"> — dry-run first.</w:t>
      </w:r>
    </w:p>
    <w:p>
      <w:pPr>
        <w:pStyle w:val="ListNumber"/>
      </w:pPr>
      <w:r>
        <w:t>You run the purge on prod.</w:t>
      </w:r>
    </w:p>
    <w:p>
      <w:pPr>
        <w:pStyle w:val="ListNumber"/>
      </w:pPr>
      <w:r>
        <w:t xml:space="preserve">You run migration 012 on prod (with a fresh </w:t>
      </w:r>
      <w:r>
        <w:rPr>
          <w:rFonts w:ascii="Consolas" w:hAnsi="Consolas"/>
        </w:rPr>
        <w:t>pg_dump</w:t>
      </w:r>
      <w:r>
        <w:t xml:space="preserve"> first, per the pattern from migration 009).</w:t>
      </w:r>
    </w:p>
    <w:p>
      <w:pPr>
        <w:pStyle w:val="ListNumber"/>
      </w:pPr>
      <w:r>
        <w:t>I move to Phase 1.5 — the reader/writer cutover in the API and UI, gated by the feature flag.</w:t>
      </w:r>
    </w:p>
    <w:p/>
    <w:p/>
    <w:p/>
    <w:p>
      <w:pPr>
        <w:pStyle w:val="Heading2"/>
      </w:pPr>
      <w:r>
        <w:t>Go/No-Go decision tree</w:t>
      </w:r>
    </w:p>
    <w:p/>
    <w:p>
      <w:pPr>
        <w:pStyle w:val="ListBullet"/>
      </w:pPr>
      <w:r>
        <w:rPr>
          <w:b/>
        </w:rPr>
        <w:t>If the schema shape is wrong</w:t>
      </w:r>
      <w:r>
        <w:t xml:space="preserve"> → I revise before anything runs.</w:t>
      </w:r>
    </w:p>
    <w:p>
      <w:pPr>
        <w:pStyle w:val="ListBullet"/>
      </w:pPr>
      <w:r>
        <w:rPr>
          <w:b/>
        </w:rPr>
        <w:t>If the backfill policy is wrong</w:t>
      </w:r>
      <w:r>
        <w:t xml:space="preserve"> (e.g. you want placeholder interests for leads without institutions) → I revise the migration.</w:t>
      </w:r>
    </w:p>
    <w:p>
      <w:pPr>
        <w:pStyle w:val="ListBullet"/>
      </w:pPr>
      <w:r>
        <w:rPr>
          <w:b/>
        </w:rPr>
        <w:t>If everything looks good</w:t>
      </w:r>
      <w:r>
        <w:t xml:space="preserve"> → proceed with demo-purge, then migration, then Phase 1.5 (feature-flagged reader cutover).</w:t>
      </w:r>
    </w:p>
    <w:p/>
    <w:p>
      <w:r>
        <w:t>Nothing on this branch has been committed yet. Uncommitted files listed above are the totality of the change.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