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80"/>
        <w:jc w:val="center"/>
      </w:pPr>
      <w:r>
        <w:rPr>
          <w:b/>
          <w:i w:val="0"/>
          <w:color w:val="5A6678"/>
          <w:sz w:val="26"/>
        </w:rPr>
        <w:t>Illume Student Advisory Services</w:t>
      </w:r>
    </w:p>
    <w:p>
      <w:pPr>
        <w:spacing w:after="120"/>
        <w:jc w:val="center"/>
      </w:pPr>
      <w:r>
        <w:rPr>
          <w:b/>
          <w:i w:val="0"/>
          <w:color w:val="1E3A5F"/>
          <w:sz w:val="60"/>
        </w:rPr>
        <w:t>ERP — Staff User Guide</w:t>
      </w:r>
    </w:p>
    <w:p>
      <w:pPr>
        <w:spacing w:after="720"/>
        <w:jc w:val="center"/>
      </w:pPr>
      <w:r>
        <w:rPr>
          <w:b w:val="0"/>
          <w:i w:val="0"/>
          <w:color w:val="5A6678"/>
          <w:sz w:val="26"/>
        </w:rPr>
        <w:t>Signing in, setting up two-factor authentication,</w:t>
        <w:br/>
        <w:t>and using the ERP day to day</w:t>
      </w:r>
    </w:p>
    <w:tbl>
      <w:tblPr>
        <w:tblW w:type="auto" w:w="0"/>
        <w:jc w:val="center"/>
        <w:tblLook w:firstColumn="1" w:firstRow="1" w:lastColumn="0" w:lastRow="0" w:noHBand="0" w:noVBand="1" w:val="04A0"/>
      </w:tblPr>
      <w:tblGrid>
        <w:gridCol w:w="4824"/>
        <w:gridCol w:w="4824"/>
      </w:tblGrid>
      <w:tr>
        <w:tc>
          <w:tcPr>
            <w:tcW w:type="dxa" w:w="2448"/>
            <w:shd w:val="clear" w:fill="F1F5F9"/>
          </w:tcPr>
          <w:p>
            <w:r>
              <w:rPr>
                <w:b/>
                <w:sz w:val="20"/>
              </w:rPr>
              <w:t>Document</w:t>
            </w:r>
          </w:p>
        </w:tc>
        <w:tc>
          <w:tcPr>
            <w:tcW w:type="dxa" w:w="6192"/>
          </w:tcPr>
          <w:p>
            <w:r>
              <w:rPr>
                <w:sz w:val="20"/>
              </w:rPr>
              <w:t>Standard Operating Procedure</w:t>
            </w:r>
          </w:p>
        </w:tc>
      </w:tr>
      <w:tr>
        <w:tc>
          <w:tcPr>
            <w:tcW w:type="dxa" w:w="2448"/>
            <w:shd w:val="clear" w:fill="F1F5F9"/>
          </w:tcPr>
          <w:p>
            <w:r>
              <w:rPr>
                <w:b/>
                <w:sz w:val="20"/>
              </w:rPr>
              <w:t>Audience</w:t>
            </w:r>
          </w:p>
        </w:tc>
        <w:tc>
          <w:tcPr>
            <w:tcW w:type="dxa" w:w="6192"/>
          </w:tcPr>
          <w:p>
            <w:r>
              <w:rPr>
                <w:sz w:val="20"/>
              </w:rPr>
              <w:t>All Illume staff with an ERP account</w:t>
            </w:r>
          </w:p>
        </w:tc>
      </w:tr>
      <w:tr>
        <w:tc>
          <w:tcPr>
            <w:tcW w:type="dxa" w:w="2448"/>
            <w:shd w:val="clear" w:fill="F1F5F9"/>
          </w:tcPr>
          <w:p>
            <w:r>
              <w:rPr>
                <w:b/>
                <w:sz w:val="20"/>
              </w:rPr>
              <w:t>Applies to</w:t>
            </w:r>
          </w:p>
        </w:tc>
        <w:tc>
          <w:tcPr>
            <w:tcW w:type="dxa" w:w="6192"/>
          </w:tcPr>
          <w:p>
            <w:r>
              <w:rPr>
                <w:sz w:val="20"/>
              </w:rPr>
              <w:t>illumestudentservices.cloud</w:t>
            </w:r>
          </w:p>
        </w:tc>
      </w:tr>
      <w:tr>
        <w:tc>
          <w:tcPr>
            <w:tcW w:type="dxa" w:w="2448"/>
            <w:shd w:val="clear" w:fill="F1F5F9"/>
          </w:tcPr>
          <w:p>
            <w:r>
              <w:rPr>
                <w:b/>
                <w:sz w:val="20"/>
              </w:rPr>
              <w:t>Version</w:t>
            </w:r>
          </w:p>
        </w:tc>
        <w:tc>
          <w:tcPr>
            <w:tcW w:type="dxa" w:w="6192"/>
          </w:tcPr>
          <w:p>
            <w:r>
              <w:rPr>
                <w:sz w:val="20"/>
              </w:rPr>
              <w:t>1.0</w:t>
            </w:r>
          </w:p>
        </w:tc>
      </w:tr>
      <w:tr>
        <w:tc>
          <w:tcPr>
            <w:tcW w:type="dxa" w:w="2448"/>
            <w:shd w:val="clear" w:fill="F1F5F9"/>
          </w:tcPr>
          <w:p>
            <w:r>
              <w:rPr>
                <w:b/>
                <w:sz w:val="20"/>
              </w:rPr>
              <w:t>Issued</w:t>
            </w:r>
          </w:p>
        </w:tc>
        <w:tc>
          <w:tcPr>
            <w:tcW w:type="dxa" w:w="6192"/>
          </w:tcPr>
          <w:p>
            <w:r>
              <w:rPr>
                <w:sz w:val="20"/>
              </w:rPr>
              <w:t>9 October 2026</w:t>
            </w:r>
          </w:p>
        </w:tc>
      </w:tr>
    </w:tbl>
    <w:p>
      <w:pPr>
        <w:spacing w:after="400"/>
      </w:pPr>
    </w:p>
    <w:tbl>
      <w:tblPr>
        <w:tblW w:type="auto" w:w="0"/>
        <w:jc w:val="center"/>
        <w:tblLook w:firstColumn="1" w:firstRow="1" w:lastColumn="0" w:lastRow="0" w:noHBand="0" w:noVBand="1" w:val="04A0"/>
      </w:tblPr>
      <w:tblGrid>
        <w:gridCol w:w="9648"/>
      </w:tblGrid>
      <w:tr>
        <w:tc>
          <w:tcPr>
            <w:tcW w:type="dxa" w:w="9504"/>
            <w:shd w:val="clear" w:fill="F1F5F9"/>
          </w:tcPr>
          <w:p>
            <w:pPr>
              <w:spacing w:after="40"/>
            </w:pPr>
            <w:r>
              <w:rPr>
                <w:b/>
                <w:color w:val="1E3A5F"/>
                <w:sz w:val="21"/>
              </w:rPr>
              <w:t>About the screenshots in this guide</w:t>
            </w:r>
          </w:p>
          <w:p>
            <w:pPr>
              <w:spacing w:after="40"/>
            </w:pPr>
            <w:r>
              <w:rPr>
                <w:sz w:val="21"/>
              </w:rPr>
              <w:t>Every screen shown here was captured from the live application using a demonstration account, which was deleted afterwards. No colleague's personal details, leave record or tasks appear anywhere in this document. Where a screen showed a security code, that part of the image has been blurred on purpose.</w:t>
            </w:r>
          </w:p>
        </w:tc>
      </w:tr>
    </w:tbl>
    <w:p>
      <w:pPr>
        <w:spacing w:after="80"/>
      </w:pPr>
    </w:p>
    <w:p>
      <w:r>
        <w:br w:type="page"/>
      </w:r>
    </w:p>
    <w:p>
      <w:pPr>
        <w:pStyle w:val="Heading1"/>
      </w:pPr>
      <w:r>
        <w:t>1. Before you start</w:t>
      </w:r>
    </w:p>
    <w:p>
      <w:pPr>
        <w:spacing w:after="160"/>
      </w:pPr>
      <w:r>
        <w:rPr>
          <w:b w:val="0"/>
          <w:i w:val="0"/>
          <w:color w:val="0F172A"/>
          <w:sz w:val="22"/>
        </w:rPr>
        <w:t>You will need three things. Please have them ready before you begin, because the sign-in process cannot be paused halfway through.</w:t>
      </w:r>
    </w:p>
    <w:p>
      <w:pPr>
        <w:pStyle w:val="ListBullet"/>
        <w:spacing w:after="60"/>
      </w:pPr>
      <w:r>
        <w:rPr>
          <w:b/>
          <w:sz w:val="22"/>
        </w:rPr>
        <w:t xml:space="preserve">Your work email address. </w:t>
      </w:r>
      <w:r>
        <w:rPr>
          <w:sz w:val="22"/>
        </w:rPr>
        <w:t>This is your username. IT will have told you which one.</w:t>
      </w:r>
    </w:p>
    <w:p>
      <w:pPr>
        <w:pStyle w:val="ListBullet"/>
        <w:spacing w:after="60"/>
      </w:pPr>
      <w:r>
        <w:rPr>
          <w:b/>
          <w:sz w:val="22"/>
        </w:rPr>
        <w:t xml:space="preserve">Your temporary password. </w:t>
      </w:r>
      <w:r>
        <w:rPr>
          <w:sz w:val="22"/>
        </w:rPr>
        <w:t>Sent to you by IT. You may be asked to change it the first time you sign in.</w:t>
      </w:r>
    </w:p>
    <w:p>
      <w:pPr>
        <w:pStyle w:val="ListBullet"/>
        <w:spacing w:after="60"/>
      </w:pPr>
      <w:r>
        <w:rPr>
          <w:b/>
          <w:sz w:val="22"/>
        </w:rPr>
        <w:t xml:space="preserve">A smartphone. </w:t>
      </w:r>
      <w:r>
        <w:rPr>
          <w:sz w:val="22"/>
        </w:rPr>
        <w:t>You will install a free authenticator app on it. Any phone will do.</w:t>
      </w:r>
    </w:p>
    <w:p>
      <w:pPr>
        <w:spacing w:after="160"/>
      </w:pPr>
      <w:r>
        <w:rPr>
          <w:b w:val="0"/>
          <w:i w:val="0"/>
          <w:color w:val="0F172A"/>
          <w:sz w:val="22"/>
        </w:rPr>
        <w:t>The ERP works in any modern browser — Chrome, Edge, Firefox or Safari. You do not need to install anything on your computer.</w:t>
      </w:r>
    </w:p>
    <w:p>
      <w:pPr>
        <w:pStyle w:val="Heading2"/>
      </w:pPr>
      <w:r>
        <w:t>Which authenticator app?</w:t>
      </w:r>
    </w:p>
    <w:p>
      <w:pPr>
        <w:spacing w:after="160"/>
      </w:pPr>
      <w:r>
        <w:rPr>
          <w:b w:val="0"/>
          <w:i w:val="0"/>
          <w:color w:val="0F172A"/>
          <w:sz w:val="22"/>
        </w:rPr>
        <w:t>Any of these work. If your phone already has one, use that one.</w:t>
      </w:r>
    </w:p>
    <w:p>
      <w:pPr>
        <w:pStyle w:val="ListBullet"/>
        <w:spacing w:after="60"/>
      </w:pPr>
      <w:r>
        <w:rPr>
          <w:sz w:val="22"/>
        </w:rPr>
        <w:t>Microsoft Authenticator</w:t>
      </w:r>
    </w:p>
    <w:p>
      <w:pPr>
        <w:pStyle w:val="ListBullet"/>
        <w:spacing w:after="60"/>
      </w:pPr>
      <w:r>
        <w:rPr>
          <w:sz w:val="22"/>
        </w:rPr>
        <w:t>Google Authenticator</w:t>
      </w:r>
    </w:p>
    <w:p>
      <w:pPr>
        <w:pStyle w:val="ListBullet"/>
        <w:spacing w:after="60"/>
      </w:pPr>
      <w:r>
        <w:rPr>
          <w:sz w:val="22"/>
        </w:rPr>
        <w:t>Any other app that supports TOTP codes</w:t>
      </w:r>
    </w:p>
    <w:tbl>
      <w:tblPr>
        <w:tblW w:type="auto" w:w="0"/>
        <w:jc w:val="center"/>
        <w:tblLook w:firstColumn="1" w:firstRow="1" w:lastColumn="0" w:lastRow="0" w:noHBand="0" w:noVBand="1" w:val="04A0"/>
      </w:tblPr>
      <w:tblGrid>
        <w:gridCol w:w="9648"/>
      </w:tblGrid>
      <w:tr>
        <w:tc>
          <w:tcPr>
            <w:tcW w:type="dxa" w:w="9504"/>
            <w:shd w:val="clear" w:fill="FFF7E6"/>
          </w:tcPr>
          <w:p>
            <w:pPr>
              <w:spacing w:after="40"/>
            </w:pPr>
            <w:r>
              <w:rPr>
                <w:b/>
                <w:color w:val="B45309"/>
                <w:sz w:val="21"/>
              </w:rPr>
              <w:t>If you do not want to install an app</w:t>
            </w:r>
          </w:p>
          <w:p>
            <w:pPr>
              <w:spacing w:after="40"/>
            </w:pPr>
            <w:r>
              <w:rPr>
                <w:sz w:val="21"/>
              </w:rPr>
              <w:t>There is a second option: the system can email your code to you instead. It is offered on the setup screen as “Email my codes instead”. Please use the app if you can. Email is less secure, because anyone who reaches your mailbox could also reset your password — both of your security factors would then be in the same place.</w:t>
            </w:r>
          </w:p>
        </w:tc>
      </w:tr>
    </w:tbl>
    <w:p>
      <w:pPr>
        <w:spacing w:after="80"/>
      </w:pPr>
    </w:p>
    <w:p>
      <w:r>
        <w:br w:type="page"/>
      </w:r>
    </w:p>
    <w:p>
      <w:pPr>
        <w:pStyle w:val="Heading1"/>
      </w:pPr>
      <w:r>
        <w:t>2. Signing in for the first time</w:t>
      </w:r>
    </w:p>
    <w:p>
      <w:pPr>
        <w:spacing w:after="160"/>
      </w:pPr>
      <w:r>
        <w:rPr>
          <w:b w:val="0"/>
          <w:i w:val="0"/>
          <w:color w:val="0F172A"/>
          <w:sz w:val="22"/>
        </w:rPr>
        <w:t>This section is only needed once. After it is done, signing in takes a few seconds.</w:t>
      </w:r>
    </w:p>
    <w:p>
      <w:pPr>
        <w:pStyle w:val="Heading2"/>
      </w:pPr>
      <w:r>
        <w:t>Step 1 — Open the sign-in page</w:t>
      </w:r>
    </w:p>
    <w:p>
      <w:pPr>
        <w:spacing w:after="160"/>
      </w:pPr>
      <w:r>
        <w:rPr>
          <w:b w:val="0"/>
          <w:i w:val="0"/>
          <w:color w:val="0F172A"/>
          <w:sz w:val="22"/>
        </w:rPr>
        <w:t>Go to illumestudentservices.cloud. You will see the sign-in screen.</w:t>
      </w:r>
    </w:p>
    <w:p>
      <w:pPr>
        <w:spacing w:after="40"/>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3657600"/>
                    </a:xfrm>
                    <a:prstGeom prst="rect"/>
                  </pic:spPr>
                </pic:pic>
              </a:graphicData>
            </a:graphic>
          </wp:inline>
        </w:drawing>
      </w:r>
    </w:p>
    <w:p>
      <w:pPr>
        <w:spacing w:after="280"/>
        <w:jc w:val="center"/>
      </w:pPr>
      <w:r>
        <w:rPr>
          <w:i/>
          <w:color w:val="5A6678"/>
          <w:sz w:val="18"/>
        </w:rPr>
        <w:t>Figure 1 — The sign-in screen.</w:t>
      </w:r>
    </w:p>
    <w:p>
      <w:pPr>
        <w:pStyle w:val="Heading2"/>
      </w:pPr>
      <w:r>
        <w:t>Step 2 — Enter your email and password</w:t>
      </w:r>
    </w:p>
    <w:p>
      <w:pPr>
        <w:spacing w:after="160"/>
      </w:pPr>
      <w:r>
        <w:rPr>
          <w:b w:val="0"/>
          <w:i w:val="0"/>
          <w:color w:val="0F172A"/>
          <w:sz w:val="22"/>
        </w:rPr>
        <w:t>Type your work email address and the password IT gave you, then select Sign In.</w:t>
      </w:r>
    </w:p>
    <w:p>
      <w:pPr>
        <w:spacing w:after="40"/>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3657600"/>
                    </a:xfrm>
                    <a:prstGeom prst="rect"/>
                  </pic:spPr>
                </pic:pic>
              </a:graphicData>
            </a:graphic>
          </wp:inline>
        </w:drawing>
      </w:r>
    </w:p>
    <w:p>
      <w:pPr>
        <w:spacing w:after="280"/>
        <w:jc w:val="center"/>
      </w:pPr>
      <w:r>
        <w:rPr>
          <w:i/>
          <w:color w:val="5A6678"/>
          <w:sz w:val="18"/>
        </w:rPr>
        <w:t>Figure 2 — Email address and password entered.</w:t>
      </w:r>
    </w:p>
    <w:p>
      <w:pPr>
        <w:pStyle w:val="Heading2"/>
      </w:pPr>
      <w:r>
        <w:t>Step 3 — Begin two-factor setup</w:t>
      </w:r>
    </w:p>
    <w:p>
      <w:pPr>
        <w:spacing w:after="160"/>
      </w:pPr>
      <w:r>
        <w:rPr>
          <w:b w:val="0"/>
          <w:i w:val="0"/>
          <w:color w:val="0F172A"/>
          <w:sz w:val="22"/>
        </w:rPr>
        <w:t>Because this is your first sign-in, the system asks you to set up two-factor authentication before it lets you any further. This is required for every account, without exception. Select Begin setup.</w:t>
      </w:r>
    </w:p>
    <w:p>
      <w:pPr>
        <w:spacing w:after="40"/>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852160" cy="3657600"/>
                    </a:xfrm>
                    <a:prstGeom prst="rect"/>
                  </pic:spPr>
                </pic:pic>
              </a:graphicData>
            </a:graphic>
          </wp:inline>
        </w:drawing>
      </w:r>
    </w:p>
    <w:p>
      <w:pPr>
        <w:spacing w:after="280"/>
        <w:jc w:val="center"/>
      </w:pPr>
      <w:r>
        <w:rPr>
          <w:i/>
          <w:color w:val="5A6678"/>
          <w:sz w:val="18"/>
        </w:rPr>
        <w:t>Figure 3 — The two-factor setup screen, shown at first sign-in.</w:t>
      </w:r>
    </w:p>
    <w:p>
      <w:pPr>
        <w:pStyle w:val="Heading2"/>
      </w:pPr>
      <w:r>
        <w:t>Step 4 — Scan the QR code</w:t>
      </w:r>
    </w:p>
    <w:p>
      <w:pPr>
        <w:spacing w:after="160"/>
      </w:pPr>
      <w:r>
        <w:rPr>
          <w:b w:val="0"/>
          <w:i w:val="0"/>
          <w:color w:val="0F172A"/>
          <w:sz w:val="22"/>
        </w:rPr>
        <w:t>A QR code appears. Open your authenticator app, choose to add an account, and scan the code with your phone's camera. The app will then start showing a 6-digit number for Illume CRM that changes every 30 seconds.</w:t>
      </w:r>
    </w:p>
    <w:tbl>
      <w:tblPr>
        <w:tblW w:type="auto" w:w="0"/>
        <w:jc w:val="center"/>
        <w:tblLook w:firstColumn="1" w:firstRow="1" w:lastColumn="0" w:lastRow="0" w:noHBand="0" w:noVBand="1" w:val="04A0"/>
      </w:tblPr>
      <w:tblGrid>
        <w:gridCol w:w="9648"/>
      </w:tblGrid>
      <w:tr>
        <w:tc>
          <w:tcPr>
            <w:tcW w:type="dxa" w:w="9504"/>
            <w:shd w:val="clear" w:fill="FFF7E6"/>
          </w:tcPr>
          <w:p>
            <w:pPr>
              <w:spacing w:after="40"/>
            </w:pPr>
            <w:r>
              <w:rPr>
                <w:b/>
                <w:color w:val="B45309"/>
                <w:sz w:val="21"/>
              </w:rPr>
              <w:t>The QR code is blurred in this guide on purpose</w:t>
            </w:r>
          </w:p>
          <w:p>
            <w:pPr>
              <w:spacing w:after="40"/>
            </w:pPr>
            <w:r>
              <w:rPr>
                <w:sz w:val="21"/>
              </w:rPr>
              <w:t>The code shown on your screen is unique to you. It is the key to your account. Never photograph it for anyone else, never email it, and never put it in a shared document.</w:t>
            </w:r>
          </w:p>
        </w:tc>
      </w:tr>
    </w:tbl>
    <w:p>
      <w:pPr>
        <w:spacing w:after="80"/>
      </w:pPr>
    </w:p>
    <w:p>
      <w:pPr>
        <w:spacing w:after="40"/>
        <w:jc w:val="center"/>
      </w:pPr>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852160" cy="3657600"/>
                    </a:xfrm>
                    <a:prstGeom prst="rect"/>
                  </pic:spPr>
                </pic:pic>
              </a:graphicData>
            </a:graphic>
          </wp:inline>
        </w:drawing>
      </w:r>
    </w:p>
    <w:p>
      <w:pPr>
        <w:spacing w:after="280"/>
        <w:jc w:val="center"/>
      </w:pPr>
      <w:r>
        <w:rPr>
          <w:i/>
          <w:color w:val="5A6678"/>
          <w:sz w:val="18"/>
        </w:rPr>
        <w:t>Figure 4 — The QR code screen. Scan the code with your authenticator app.</w:t>
      </w:r>
    </w:p>
    <w:p>
      <w:pPr>
        <w:pStyle w:val="Heading2"/>
      </w:pPr>
      <w:r>
        <w:t>Step 5 — Enter the code and confirm with your password</w:t>
      </w:r>
    </w:p>
    <w:p>
      <w:pPr>
        <w:spacing w:after="160"/>
      </w:pPr>
      <w:r>
        <w:rPr>
          <w:b w:val="0"/>
          <w:i w:val="0"/>
          <w:color w:val="0F172A"/>
          <w:sz w:val="22"/>
        </w:rPr>
        <w:t>Type the 6-digit number from your app into the box. You will also be asked for your account password a second time. This is deliberate — it proves it is really you turning on two-factor authentication. Then select Verify &amp; enable.</w:t>
      </w:r>
    </w:p>
    <w:p>
      <w:pPr>
        <w:spacing w:after="40"/>
        <w:jc w:val="center"/>
      </w:pPr>
      <w:r>
        <w:drawing>
          <wp:inline xmlns:a="http://schemas.openxmlformats.org/drawingml/2006/main" xmlns:pic="http://schemas.openxmlformats.org/drawingml/2006/picture">
            <wp:extent cx="5852160" cy="36576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852160" cy="3657600"/>
                    </a:xfrm>
                    <a:prstGeom prst="rect"/>
                  </pic:spPr>
                </pic:pic>
              </a:graphicData>
            </a:graphic>
          </wp:inline>
        </w:drawing>
      </w:r>
    </w:p>
    <w:p>
      <w:pPr>
        <w:spacing w:after="280"/>
        <w:jc w:val="center"/>
      </w:pPr>
      <w:r>
        <w:rPr>
          <w:i/>
          <w:color w:val="5A6678"/>
          <w:sz w:val="18"/>
        </w:rPr>
        <w:t>Figure 5 — The 6-digit code and your password, ready to confirm.</w:t>
      </w:r>
    </w:p>
    <w:p>
      <w:pPr>
        <w:pStyle w:val="Heading2"/>
      </w:pPr>
      <w:r>
        <w:t>Step 6 — Save your backup codes</w:t>
      </w:r>
    </w:p>
    <w:p>
      <w:pPr>
        <w:spacing w:after="160"/>
      </w:pPr>
      <w:r>
        <w:rPr>
          <w:b w:val="0"/>
          <w:i w:val="0"/>
          <w:color w:val="0F172A"/>
          <w:sz w:val="22"/>
        </w:rPr>
        <w:t>Two-factor authentication is now active, and the system shows you eight backup codes. These let you sign in if you ever lose your phone. Each one works once, and they are never shown again.</w:t>
      </w:r>
    </w:p>
    <w:tbl>
      <w:tblPr>
        <w:tblW w:type="auto" w:w="0"/>
        <w:jc w:val="center"/>
        <w:tblLook w:firstColumn="1" w:firstRow="1" w:lastColumn="0" w:lastRow="0" w:noHBand="0" w:noVBand="1" w:val="04A0"/>
      </w:tblPr>
      <w:tblGrid>
        <w:gridCol w:w="9648"/>
      </w:tblGrid>
      <w:tr>
        <w:tc>
          <w:tcPr>
            <w:tcW w:type="dxa" w:w="9504"/>
            <w:shd w:val="clear" w:fill="FFF7E6"/>
          </w:tcPr>
          <w:p>
            <w:pPr>
              <w:spacing w:after="40"/>
            </w:pPr>
            <w:r>
              <w:rPr>
                <w:b/>
                <w:color w:val="B45309"/>
                <w:sz w:val="21"/>
              </w:rPr>
              <w:t>Save these somewhere safe, now</w:t>
            </w:r>
          </w:p>
          <w:p>
            <w:pPr>
              <w:spacing w:after="40"/>
            </w:pPr>
            <w:r>
              <w:rPr>
                <w:sz w:val="21"/>
              </w:rPr>
              <w:t>Put them in a password manager, or print them and keep them somewhere secure at home. Do not save them in your email, in a note on the phone that holds your authenticator app, or in a shared folder. If you lose both your phone and these codes, IT has to reset your account for you.</w:t>
            </w:r>
          </w:p>
        </w:tc>
      </w:tr>
    </w:tbl>
    <w:p>
      <w:pPr>
        <w:spacing w:after="80"/>
      </w:pPr>
    </w:p>
    <w:p>
      <w:pPr>
        <w:spacing w:after="40"/>
        <w:jc w:val="center"/>
      </w:pPr>
      <w:r>
        <w:drawing>
          <wp:inline xmlns:a="http://schemas.openxmlformats.org/drawingml/2006/main" xmlns:pic="http://schemas.openxmlformats.org/drawingml/2006/picture">
            <wp:extent cx="5852160" cy="36576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852160" cy="3657600"/>
                    </a:xfrm>
                    <a:prstGeom prst="rect"/>
                  </pic:spPr>
                </pic:pic>
              </a:graphicData>
            </a:graphic>
          </wp:inline>
        </w:drawing>
      </w:r>
    </w:p>
    <w:p>
      <w:pPr>
        <w:spacing w:after="280"/>
        <w:jc w:val="center"/>
      </w:pPr>
      <w:r>
        <w:rPr>
          <w:i/>
          <w:color w:val="5A6678"/>
          <w:sz w:val="18"/>
        </w:rPr>
        <w:t>Figure 6 — The backup codes screen. The codes are blurred here — yours will be visible.</w:t>
      </w:r>
    </w:p>
    <w:p>
      <w:pPr>
        <w:pStyle w:val="Heading2"/>
      </w:pPr>
      <w:r>
        <w:t>Step 7 — Sign in again</w:t>
      </w:r>
    </w:p>
    <w:p>
      <w:pPr>
        <w:spacing w:after="160"/>
      </w:pPr>
      <w:r>
        <w:rPr>
          <w:b w:val="0"/>
          <w:i w:val="0"/>
          <w:color w:val="0F172A"/>
          <w:sz w:val="22"/>
        </w:rPr>
        <w:t>Setting up two-factor authentication does not sign you in. You will be asked to sign in once more, and this time the system asks for a code from your app. This is normal and only happens on this first occasion.</w:t>
      </w:r>
    </w:p>
    <w:p>
      <w:pPr>
        <w:spacing w:after="160"/>
      </w:pPr>
      <w:r>
        <w:rPr>
          <w:b w:val="0"/>
          <w:i w:val="0"/>
          <w:color w:val="0F172A"/>
          <w:sz w:val="22"/>
        </w:rPr>
        <w:t>From now on, signing in is: email, password, then the 6-digit code from your app.</w:t>
      </w:r>
    </w:p>
    <w:p>
      <w:pPr>
        <w:spacing w:after="40"/>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852160" cy="3657600"/>
                    </a:xfrm>
                    <a:prstGeom prst="rect"/>
                  </pic:spPr>
                </pic:pic>
              </a:graphicData>
            </a:graphic>
          </wp:inline>
        </w:drawing>
      </w:r>
    </w:p>
    <w:p>
      <w:pPr>
        <w:spacing w:after="280"/>
        <w:jc w:val="center"/>
      </w:pPr>
      <w:r>
        <w:rPr>
          <w:i/>
          <w:color w:val="5A6678"/>
          <w:sz w:val="18"/>
        </w:rPr>
        <w:t>Figure 7 — The code prompt you will see at every sign-in from now on.</w:t>
      </w:r>
    </w:p>
    <w:tbl>
      <w:tblPr>
        <w:tblW w:type="auto" w:w="0"/>
        <w:jc w:val="center"/>
        <w:tblLook w:firstColumn="1" w:firstRow="1" w:lastColumn="0" w:lastRow="0" w:noHBand="0" w:noVBand="1" w:val="04A0"/>
      </w:tblPr>
      <w:tblGrid>
        <w:gridCol w:w="9648"/>
      </w:tblGrid>
      <w:tr>
        <w:tc>
          <w:tcPr>
            <w:tcW w:type="dxa" w:w="9504"/>
            <w:shd w:val="clear" w:fill="F1F5F9"/>
          </w:tcPr>
          <w:p>
            <w:pPr>
              <w:spacing w:after="40"/>
            </w:pPr>
            <w:r>
              <w:rPr>
                <w:b/>
                <w:color w:val="1E3A5F"/>
                <w:sz w:val="21"/>
              </w:rPr>
              <w:t>Every time you sign in from now on</w:t>
            </w:r>
          </w:p>
          <w:p>
            <w:pPr>
              <w:spacing w:after="40"/>
            </w:pPr>
            <w:r>
              <w:rPr>
                <w:sz w:val="21"/>
              </w:rPr>
              <w:t>Email → password → 6-digit code from your app. If the code is refused, wait for the app to show a new one and try again. Codes expire after 30 seconds.</w:t>
            </w:r>
          </w:p>
        </w:tc>
      </w:tr>
    </w:tbl>
    <w:p>
      <w:pPr>
        <w:spacing w:after="80"/>
      </w:pPr>
    </w:p>
    <w:p>
      <w:r>
        <w:br w:type="page"/>
      </w:r>
    </w:p>
    <w:p>
      <w:pPr>
        <w:pStyle w:val="Heading1"/>
      </w:pPr>
      <w:r>
        <w:t>3. Finding your way around</w:t>
      </w:r>
    </w:p>
    <w:p>
      <w:pPr>
        <w:spacing w:after="160"/>
      </w:pPr>
      <w:r>
        <w:rPr>
          <w:b w:val="0"/>
          <w:i w:val="0"/>
          <w:color w:val="0F172A"/>
          <w:sz w:val="22"/>
        </w:rPr>
        <w:t>Once signed in you land on your dashboard. The menu on the left is how you move around the system.</w:t>
      </w:r>
    </w:p>
    <w:p>
      <w:pPr>
        <w:spacing w:after="40"/>
        <w:jc w:val="center"/>
      </w:pPr>
      <w:r>
        <w:drawing>
          <wp:inline xmlns:a="http://schemas.openxmlformats.org/drawingml/2006/main" xmlns:pic="http://schemas.openxmlformats.org/drawingml/2006/picture">
            <wp:extent cx="5852160" cy="643737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852160" cy="6437376"/>
                    </a:xfrm>
                    <a:prstGeom prst="rect"/>
                  </pic:spPr>
                </pic:pic>
              </a:graphicData>
            </a:graphic>
          </wp:inline>
        </w:drawing>
      </w:r>
    </w:p>
    <w:p>
      <w:pPr>
        <w:spacing w:after="280"/>
        <w:jc w:val="center"/>
      </w:pPr>
      <w:r>
        <w:rPr>
          <w:i/>
          <w:color w:val="5A6678"/>
          <w:sz w:val="18"/>
        </w:rPr>
        <w:t>Figure 8 — The dashboard. Your menu is on the left.</w:t>
      </w:r>
    </w:p>
    <w:p>
      <w:pPr>
        <w:pStyle w:val="Heading2"/>
      </w:pPr>
      <w:r>
        <w:t>What each menu item is for</w:t>
      </w:r>
    </w:p>
    <w:tbl>
      <w:tblPr>
        <w:tblStyle w:val="TableGrid"/>
        <w:tblW w:type="auto" w:w="0"/>
        <w:jc w:val="center"/>
        <w:tblLook w:firstColumn="1" w:firstRow="1" w:lastColumn="0" w:lastRow="0" w:noHBand="0" w:noVBand="1" w:val="04A0"/>
      </w:tblPr>
      <w:tblGrid>
        <w:gridCol w:w="4824"/>
        <w:gridCol w:w="4824"/>
      </w:tblGrid>
      <w:tr>
        <w:tc>
          <w:tcPr>
            <w:tcW w:type="dxa" w:w="2304"/>
            <w:shd w:val="clear" w:fill="1E3A5F"/>
          </w:tcPr>
          <w:p>
            <w:r>
              <w:rPr>
                <w:b/>
                <w:color w:val="FFFFFF"/>
                <w:sz w:val="20"/>
              </w:rPr>
              <w:t>Menu item</w:t>
            </w:r>
          </w:p>
        </w:tc>
        <w:tc>
          <w:tcPr>
            <w:tcW w:type="dxa" w:w="6912"/>
            <w:shd w:val="clear" w:fill="1E3A5F"/>
          </w:tcPr>
          <w:p>
            <w:r>
              <w:rPr>
                <w:b/>
                <w:color w:val="FFFFFF"/>
                <w:sz w:val="20"/>
              </w:rPr>
              <w:t>What you use it for</w:t>
            </w:r>
          </w:p>
        </w:tc>
      </w:tr>
      <w:tr>
        <w:tc>
          <w:tcPr>
            <w:tcW w:type="dxa" w:w="2304"/>
          </w:tcPr>
          <w:p>
            <w:r>
              <w:rPr>
                <w:sz w:val="20"/>
              </w:rPr>
              <w:t>Dashboard</w:t>
            </w:r>
          </w:p>
        </w:tc>
        <w:tc>
          <w:tcPr>
            <w:tcW w:type="dxa" w:w="6912"/>
          </w:tcPr>
          <w:p>
            <w:r>
              <w:rPr>
                <w:sz w:val="20"/>
              </w:rPr>
              <w:t>Your summary: leave remaining, open tasks, and anything waiting on you.</w:t>
            </w:r>
          </w:p>
        </w:tc>
      </w:tr>
      <w:tr>
        <w:tc>
          <w:tcPr>
            <w:tcW w:type="dxa" w:w="2304"/>
          </w:tcPr>
          <w:p>
            <w:r>
              <w:rPr>
                <w:sz w:val="20"/>
              </w:rPr>
              <w:t>Tasks</w:t>
            </w:r>
          </w:p>
        </w:tc>
        <w:tc>
          <w:tcPr>
            <w:tcW w:type="dxa" w:w="6912"/>
          </w:tcPr>
          <w:p>
            <w:r>
              <w:rPr>
                <w:sz w:val="20"/>
              </w:rPr>
              <w:t>Work assigned to you, and work you have assigned to the people who report to you.</w:t>
            </w:r>
          </w:p>
        </w:tc>
      </w:tr>
      <w:tr>
        <w:tc>
          <w:tcPr>
            <w:tcW w:type="dxa" w:w="2304"/>
          </w:tcPr>
          <w:p>
            <w:r>
              <w:rPr>
                <w:sz w:val="20"/>
              </w:rPr>
              <w:t>HR &amp; ERP</w:t>
            </w:r>
          </w:p>
        </w:tc>
        <w:tc>
          <w:tcPr>
            <w:tcW w:type="dxa" w:w="6912"/>
          </w:tcPr>
          <w:p>
            <w:r>
              <w:rPr>
                <w:sz w:val="20"/>
              </w:rPr>
              <w:t>Your own staff record: leave, public holidays, documents, assets and training.</w:t>
            </w:r>
          </w:p>
        </w:tc>
      </w:tr>
      <w:tr>
        <w:tc>
          <w:tcPr>
            <w:tcW w:type="dxa" w:w="2304"/>
          </w:tcPr>
          <w:p>
            <w:r>
              <w:rPr>
                <w:sz w:val="20"/>
              </w:rPr>
              <w:t>Knowledge Base</w:t>
            </w:r>
          </w:p>
        </w:tc>
        <w:tc>
          <w:tcPr>
            <w:tcW w:type="dxa" w:w="6912"/>
          </w:tcPr>
          <w:p>
            <w:r>
              <w:rPr>
                <w:sz w:val="20"/>
              </w:rPr>
              <w:t>Guides and reference material shared across the company.</w:t>
            </w:r>
          </w:p>
        </w:tc>
      </w:tr>
    </w:tbl>
    <w:p>
      <w:pPr>
        <w:spacing w:after="200"/>
      </w:pPr>
    </w:p>
    <w:p>
      <w:pPr>
        <w:spacing w:after="160"/>
      </w:pPr>
      <w:r>
        <w:rPr>
          <w:b w:val="0"/>
          <w:i w:val="0"/>
          <w:color w:val="0F172A"/>
          <w:sz w:val="22"/>
        </w:rPr>
        <w:t>If you do not see a menu item mentioned elsewhere in the company, that is normal. People only see the parts of the system their role needs.</w:t>
      </w:r>
    </w:p>
    <w:p>
      <w:r>
        <w:br w:type="page"/>
      </w:r>
    </w:p>
    <w:p>
      <w:pPr>
        <w:pStyle w:val="Heading1"/>
      </w:pPr>
      <w:r>
        <w:t>4. Your staff record</w:t>
      </w:r>
    </w:p>
    <w:p>
      <w:pPr>
        <w:spacing w:after="160"/>
      </w:pPr>
      <w:r>
        <w:rPr>
          <w:b w:val="0"/>
          <w:i w:val="0"/>
          <w:color w:val="0F172A"/>
          <w:sz w:val="22"/>
        </w:rPr>
        <w:t>Select HR &amp; ERP in the menu. You are taken straight to your own record. The tabs across the middle hold the different parts of it.</w:t>
      </w:r>
    </w:p>
    <w:p>
      <w:pPr>
        <w:spacing w:after="40"/>
        <w:jc w:val="center"/>
      </w:pPr>
      <w:r>
        <w:drawing>
          <wp:inline xmlns:a="http://schemas.openxmlformats.org/drawingml/2006/main" xmlns:pic="http://schemas.openxmlformats.org/drawingml/2006/picture">
            <wp:extent cx="5852160" cy="365760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852160" cy="3657600"/>
                    </a:xfrm>
                    <a:prstGeom prst="rect"/>
                  </pic:spPr>
                </pic:pic>
              </a:graphicData>
            </a:graphic>
          </wp:inline>
        </w:drawing>
      </w:r>
    </w:p>
    <w:p>
      <w:pPr>
        <w:spacing w:after="280"/>
        <w:jc w:val="center"/>
      </w:pPr>
      <w:r>
        <w:rPr>
          <w:i/>
          <w:color w:val="5A6678"/>
          <w:sz w:val="18"/>
        </w:rPr>
        <w:t>Figure 9 — Your own staff record, opened at the Profile tab.</w:t>
      </w:r>
    </w:p>
    <w:p>
      <w:pPr>
        <w:pStyle w:val="ListBullet"/>
        <w:spacing w:after="60"/>
      </w:pPr>
      <w:r>
        <w:rPr>
          <w:b/>
          <w:sz w:val="22"/>
        </w:rPr>
        <w:t xml:space="preserve">Profile — </w:t>
      </w:r>
      <w:r>
        <w:rPr>
          <w:sz w:val="22"/>
        </w:rPr>
        <w:t>your job title, start date and contact details.</w:t>
      </w:r>
    </w:p>
    <w:p>
      <w:pPr>
        <w:pStyle w:val="ListBullet"/>
        <w:spacing w:after="60"/>
      </w:pPr>
      <w:r>
        <w:rPr>
          <w:b/>
          <w:sz w:val="22"/>
        </w:rPr>
        <w:t xml:space="preserve">Leave — </w:t>
      </w:r>
      <w:r>
        <w:rPr>
          <w:sz w:val="22"/>
        </w:rPr>
        <w:t>how much leave you have left, and your leave history.</w:t>
      </w:r>
    </w:p>
    <w:p>
      <w:pPr>
        <w:pStyle w:val="ListBullet"/>
        <w:spacing w:after="60"/>
      </w:pPr>
      <w:r>
        <w:rPr>
          <w:b/>
          <w:sz w:val="22"/>
        </w:rPr>
        <w:t xml:space="preserve">Holidays — </w:t>
      </w:r>
      <w:r>
        <w:rPr>
          <w:sz w:val="22"/>
        </w:rPr>
        <w:t>the public holidays that apply to you.</w:t>
      </w:r>
    </w:p>
    <w:p>
      <w:pPr>
        <w:pStyle w:val="ListBullet"/>
        <w:spacing w:after="60"/>
      </w:pPr>
      <w:r>
        <w:rPr>
          <w:b/>
          <w:sz w:val="22"/>
        </w:rPr>
        <w:t xml:space="preserve">Worklogs — </w:t>
      </w:r>
      <w:r>
        <w:rPr>
          <w:sz w:val="22"/>
        </w:rPr>
        <w:t>time recorded against your work.</w:t>
      </w:r>
    </w:p>
    <w:p>
      <w:pPr>
        <w:pStyle w:val="ListBullet"/>
        <w:spacing w:after="60"/>
      </w:pPr>
      <w:r>
        <w:rPr>
          <w:b/>
          <w:sz w:val="22"/>
        </w:rPr>
        <w:t xml:space="preserve">Training — </w:t>
      </w:r>
      <w:r>
        <w:rPr>
          <w:sz w:val="22"/>
        </w:rPr>
        <w:t>training assigned to or completed by you.</w:t>
      </w:r>
    </w:p>
    <w:p>
      <w:pPr>
        <w:pStyle w:val="ListBullet"/>
        <w:spacing w:after="60"/>
      </w:pPr>
      <w:r>
        <w:rPr>
          <w:b/>
          <w:sz w:val="22"/>
        </w:rPr>
        <w:t xml:space="preserve">Assets — </w:t>
      </w:r>
      <w:r>
        <w:rPr>
          <w:sz w:val="22"/>
        </w:rPr>
        <w:t>company equipment issued to you.</w:t>
      </w:r>
    </w:p>
    <w:p>
      <w:pPr>
        <w:pStyle w:val="ListBullet"/>
        <w:spacing w:after="60"/>
      </w:pPr>
      <w:r>
        <w:rPr>
          <w:b/>
          <w:sz w:val="22"/>
        </w:rPr>
        <w:t xml:space="preserve">Performance Reviews — </w:t>
      </w:r>
      <w:r>
        <w:rPr>
          <w:sz w:val="22"/>
        </w:rPr>
        <w:t>your review records.</w:t>
      </w:r>
    </w:p>
    <w:p>
      <w:pPr>
        <w:pStyle w:val="ListBullet"/>
        <w:spacing w:after="60"/>
      </w:pPr>
      <w:r>
        <w:rPr>
          <w:b/>
          <w:sz w:val="22"/>
        </w:rPr>
        <w:t xml:space="preserve">Documents — </w:t>
      </w:r>
      <w:r>
        <w:rPr>
          <w:sz w:val="22"/>
        </w:rPr>
        <w:t>documents HR holds for you, such as your contract.</w:t>
      </w:r>
    </w:p>
    <w:p>
      <w:pPr>
        <w:pStyle w:val="Heading2"/>
      </w:pPr>
      <w:r>
        <w:t>4.1 Checking your leave balance</w:t>
      </w:r>
    </w:p>
    <w:p>
      <w:pPr>
        <w:spacing w:after="160"/>
      </w:pPr>
      <w:r>
        <w:rPr>
          <w:b w:val="0"/>
          <w:i w:val="0"/>
          <w:color w:val="0F172A"/>
          <w:sz w:val="22"/>
        </w:rPr>
        <w:t>Open the Leave tab. Your entitlement is shown at the top, with how much you have used and how much is left. Your leave history is underneath.</w:t>
      </w:r>
    </w:p>
    <w:p>
      <w:pPr>
        <w:spacing w:after="160"/>
      </w:pPr>
      <w:r>
        <w:rPr>
          <w:b w:val="0"/>
          <w:i w:val="0"/>
          <w:color w:val="0F172A"/>
          <w:sz w:val="22"/>
        </w:rPr>
        <w:t>Your entitlement is worked out from your joining date, so it increases through the year rather than appearing all at once in January.</w:t>
      </w:r>
    </w:p>
    <w:p>
      <w:pPr>
        <w:spacing w:after="40"/>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852160" cy="3657600"/>
                    </a:xfrm>
                    <a:prstGeom prst="rect"/>
                  </pic:spPr>
                </pic:pic>
              </a:graphicData>
            </a:graphic>
          </wp:inline>
        </w:drawing>
      </w:r>
    </w:p>
    <w:p>
      <w:pPr>
        <w:spacing w:after="280"/>
        <w:jc w:val="center"/>
      </w:pPr>
      <w:r>
        <w:rPr>
          <w:i/>
          <w:color w:val="5A6678"/>
          <w:sz w:val="18"/>
        </w:rPr>
        <w:t>Figure 10 — The Leave tab: your balances at the top, your history below.</w:t>
      </w:r>
    </w:p>
    <w:p>
      <w:pPr>
        <w:pStyle w:val="Heading2"/>
      </w:pPr>
      <w:r>
        <w:t>4.2 Applying for leave</w:t>
      </w:r>
    </w:p>
    <w:p>
      <w:pPr>
        <w:spacing w:after="160"/>
      </w:pPr>
      <w:r>
        <w:rPr>
          <w:b w:val="0"/>
          <w:i w:val="0"/>
          <w:color w:val="0F172A"/>
          <w:sz w:val="22"/>
        </w:rPr>
        <w:t>Select Apply on the right of the Leave History panel.</w:t>
      </w:r>
    </w:p>
    <w:p>
      <w:pPr>
        <w:spacing w:after="40"/>
        <w:jc w:val="center"/>
      </w:pPr>
      <w:r>
        <w:drawing>
          <wp:inline xmlns:a="http://schemas.openxmlformats.org/drawingml/2006/main" xmlns:pic="http://schemas.openxmlformats.org/drawingml/2006/picture">
            <wp:extent cx="5852160" cy="365760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852160" cy="3657600"/>
                    </a:xfrm>
                    <a:prstGeom prst="rect"/>
                  </pic:spPr>
                </pic:pic>
              </a:graphicData>
            </a:graphic>
          </wp:inline>
        </w:drawing>
      </w:r>
    </w:p>
    <w:p>
      <w:pPr>
        <w:spacing w:after="280"/>
        <w:jc w:val="center"/>
      </w:pPr>
      <w:r>
        <w:rPr>
          <w:i/>
          <w:color w:val="5A6678"/>
          <w:sz w:val="18"/>
        </w:rPr>
        <w:t>Figure 11 — The Apply for Leave window.</w:t>
      </w:r>
    </w:p>
    <w:p>
      <w:pPr>
        <w:pStyle w:val="ListNumber"/>
        <w:spacing w:after="80"/>
      </w:pPr>
      <w:r>
        <w:rPr>
          <w:sz w:val="22"/>
        </w:rPr>
        <w:t>Choose the Leave Type — for example Vacation (Paid) or Sick Leave.</w:t>
      </w:r>
    </w:p>
    <w:p>
      <w:pPr>
        <w:pStyle w:val="ListNumber"/>
        <w:spacing w:after="80"/>
      </w:pPr>
      <w:r>
        <w:rPr>
          <w:sz w:val="22"/>
        </w:rPr>
        <w:t>Pick your Start Date and End Date.</w:t>
      </w:r>
    </w:p>
    <w:p>
      <w:pPr>
        <w:pStyle w:val="ListNumber"/>
        <w:spacing w:after="80"/>
      </w:pPr>
      <w:r>
        <w:rPr>
          <w:sz w:val="22"/>
        </w:rPr>
        <w:t>Check the number of days the system works out for you. It counts working days only and removes any public holiday in your region.</w:t>
      </w:r>
    </w:p>
    <w:p>
      <w:pPr>
        <w:pStyle w:val="ListNumber"/>
        <w:spacing w:after="80"/>
      </w:pPr>
      <w:r>
        <w:rPr>
          <w:sz w:val="22"/>
        </w:rPr>
        <w:t>Write a short Reason. A line is enough — it helps your manager decide quickly.</w:t>
      </w:r>
    </w:p>
    <w:p>
      <w:pPr>
        <w:pStyle w:val="ListNumber"/>
        <w:spacing w:after="80"/>
      </w:pPr>
      <w:r>
        <w:rPr>
          <w:sz w:val="22"/>
        </w:rPr>
        <w:t>Select Submit Request.</w:t>
      </w:r>
    </w:p>
    <w:p>
      <w:pPr>
        <w:spacing w:after="40"/>
        <w:jc w:val="center"/>
      </w:pPr>
      <w:r>
        <w:drawing>
          <wp:inline xmlns:a="http://schemas.openxmlformats.org/drawingml/2006/main" xmlns:pic="http://schemas.openxmlformats.org/drawingml/2006/picture">
            <wp:extent cx="5852160" cy="365760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852160" cy="3657600"/>
                    </a:xfrm>
                    <a:prstGeom prst="rect"/>
                  </pic:spPr>
                </pic:pic>
              </a:graphicData>
            </a:graphic>
          </wp:inline>
        </w:drawing>
      </w:r>
    </w:p>
    <w:p>
      <w:pPr>
        <w:spacing w:after="280"/>
        <w:jc w:val="center"/>
      </w:pPr>
      <w:r>
        <w:rPr>
          <w:i/>
          <w:color w:val="5A6678"/>
          <w:sz w:val="18"/>
        </w:rPr>
        <w:t>Figure 12 — A completed leave request, ready to submit.</w:t>
      </w:r>
    </w:p>
    <w:p>
      <w:pPr>
        <w:spacing w:after="160"/>
      </w:pPr>
      <w:r>
        <w:rPr>
          <w:b w:val="0"/>
          <w:i w:val="0"/>
          <w:color w:val="0F172A"/>
          <w:sz w:val="22"/>
        </w:rPr>
        <w:t>Your request goes straight to your line manager. They receive an email and a notification in the system. You will be emailed as soon as they approve or decline it, and the request will show in your Leave History with its status.</w:t>
      </w:r>
    </w:p>
    <w:tbl>
      <w:tblPr>
        <w:tblW w:type="auto" w:w="0"/>
        <w:jc w:val="center"/>
        <w:tblLook w:firstColumn="1" w:firstRow="1" w:lastColumn="0" w:lastRow="0" w:noHBand="0" w:noVBand="1" w:val="04A0"/>
      </w:tblPr>
      <w:tblGrid>
        <w:gridCol w:w="9648"/>
      </w:tblGrid>
      <w:tr>
        <w:tc>
          <w:tcPr>
            <w:tcW w:type="dxa" w:w="9504"/>
            <w:shd w:val="clear" w:fill="F1F5F9"/>
          </w:tcPr>
          <w:p>
            <w:pPr>
              <w:spacing w:after="40"/>
            </w:pPr>
            <w:r>
              <w:rPr>
                <w:b/>
                <w:color w:val="1E3A5F"/>
                <w:sz w:val="21"/>
              </w:rPr>
              <w:t>While your request is waiting</w:t>
            </w:r>
          </w:p>
          <w:p>
            <w:pPr>
              <w:spacing w:after="40"/>
            </w:pPr>
            <w:r>
              <w:rPr>
                <w:sz w:val="21"/>
              </w:rPr>
              <w:t>The days are held against your balance as soon as you submit, so the figure you see already allows for leave you have asked for but not yet had approved. You cannot book two periods that overlap.</w:t>
            </w:r>
          </w:p>
        </w:tc>
      </w:tr>
    </w:tbl>
    <w:p>
      <w:pPr>
        <w:spacing w:after="80"/>
      </w:pPr>
    </w:p>
    <w:p>
      <w:pPr>
        <w:pStyle w:val="Heading2"/>
      </w:pPr>
      <w:r>
        <w:t>4.3 Public holidays</w:t>
      </w:r>
    </w:p>
    <w:p>
      <w:pPr>
        <w:spacing w:after="160"/>
      </w:pPr>
      <w:r>
        <w:rPr>
          <w:b w:val="0"/>
          <w:i w:val="0"/>
          <w:color w:val="0F172A"/>
          <w:sz w:val="22"/>
        </w:rPr>
        <w:t>Open the Holidays tab to see the public holidays that apply to you. HR maintains this calendar. If it is empty, the holidays for your region have not been entered yet — please speak to HR rather than assuming a day is a working day.</w:t>
      </w:r>
    </w:p>
    <w:p>
      <w:pPr>
        <w:spacing w:after="40"/>
        <w:jc w:val="center"/>
      </w:pPr>
      <w:r>
        <w:drawing>
          <wp:inline xmlns:a="http://schemas.openxmlformats.org/drawingml/2006/main" xmlns:pic="http://schemas.openxmlformats.org/drawingml/2006/picture">
            <wp:extent cx="5852160" cy="36576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852160" cy="3657600"/>
                    </a:xfrm>
                    <a:prstGeom prst="rect"/>
                  </pic:spPr>
                </pic:pic>
              </a:graphicData>
            </a:graphic>
          </wp:inline>
        </w:drawing>
      </w:r>
    </w:p>
    <w:p>
      <w:pPr>
        <w:spacing w:after="280"/>
        <w:jc w:val="center"/>
      </w:pPr>
      <w:r>
        <w:rPr>
          <w:i/>
          <w:color w:val="5A6678"/>
          <w:sz w:val="18"/>
        </w:rPr>
        <w:t>Figure 13 — The Holidays tab.</w:t>
      </w:r>
    </w:p>
    <w:p>
      <w:r>
        <w:br w:type="page"/>
      </w:r>
    </w:p>
    <w:p>
      <w:pPr>
        <w:pStyle w:val="Heading1"/>
      </w:pPr>
      <w:r>
        <w:t>5. Tasks</w:t>
      </w:r>
    </w:p>
    <w:p>
      <w:pPr>
        <w:spacing w:after="160"/>
      </w:pPr>
      <w:r>
        <w:rPr>
          <w:b w:val="0"/>
          <w:i w:val="0"/>
          <w:color w:val="0F172A"/>
          <w:sz w:val="22"/>
        </w:rPr>
        <w:t>Select Tasks in the menu. The panel at the top summarises what is due, what is overdue and what you have finished this week. Your tasks are listed underneath.</w:t>
      </w:r>
    </w:p>
    <w:p>
      <w:pPr>
        <w:spacing w:after="40"/>
        <w:jc w:val="center"/>
      </w:pPr>
      <w:r>
        <w:drawing>
          <wp:inline xmlns:a="http://schemas.openxmlformats.org/drawingml/2006/main" xmlns:pic="http://schemas.openxmlformats.org/drawingml/2006/picture">
            <wp:extent cx="5852160" cy="365760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852160" cy="3657600"/>
                    </a:xfrm>
                    <a:prstGeom prst="rect"/>
                  </pic:spPr>
                </pic:pic>
              </a:graphicData>
            </a:graphic>
          </wp:inline>
        </w:drawing>
      </w:r>
    </w:p>
    <w:p>
      <w:pPr>
        <w:spacing w:after="280"/>
        <w:jc w:val="center"/>
      </w:pPr>
      <w:r>
        <w:rPr>
          <w:i/>
          <w:color w:val="5A6678"/>
          <w:sz w:val="18"/>
        </w:rPr>
        <w:t>Figure 14 — The Tasks screen.</w:t>
      </w:r>
    </w:p>
    <w:tbl>
      <w:tblPr>
        <w:tblW w:type="auto" w:w="0"/>
        <w:jc w:val="center"/>
        <w:tblLook w:firstColumn="1" w:firstRow="1" w:lastColumn="0" w:lastRow="0" w:noHBand="0" w:noVBand="1" w:val="04A0"/>
      </w:tblPr>
      <w:tblGrid>
        <w:gridCol w:w="9648"/>
      </w:tblGrid>
      <w:tr>
        <w:tc>
          <w:tcPr>
            <w:tcW w:type="dxa" w:w="9504"/>
            <w:shd w:val="clear" w:fill="F1F5F9"/>
          </w:tcPr>
          <w:p>
            <w:pPr>
              <w:spacing w:after="40"/>
            </w:pPr>
            <w:r>
              <w:rPr>
                <w:b/>
                <w:color w:val="1E3A5F"/>
                <w:sz w:val="21"/>
              </w:rPr>
              <w:t>Who can see your tasks</w:t>
            </w:r>
          </w:p>
          <w:p>
            <w:pPr>
              <w:spacing w:after="40"/>
            </w:pPr>
            <w:r>
              <w:rPr>
                <w:sz w:val="21"/>
              </w:rPr>
              <w:t>You see your own tasks, and any task you have assigned to someone who reports to you. Nobody else can see them — not colleagues, not HR, not administrators. Equally, you cannot see a colleague's tasks unless you allocated them yourself.</w:t>
            </w:r>
          </w:p>
        </w:tc>
      </w:tr>
    </w:tbl>
    <w:p>
      <w:pPr>
        <w:spacing w:after="80"/>
      </w:pPr>
    </w:p>
    <w:p>
      <w:pPr>
        <w:pStyle w:val="Heading2"/>
      </w:pPr>
      <w:r>
        <w:t>5.1 Reminders you will receive</w:t>
      </w:r>
    </w:p>
    <w:p>
      <w:pPr>
        <w:spacing w:after="160"/>
      </w:pPr>
      <w:r>
        <w:rPr>
          <w:b w:val="0"/>
          <w:i w:val="0"/>
          <w:color w:val="0F172A"/>
          <w:sz w:val="22"/>
        </w:rPr>
        <w:t>You do not need to watch the Tasks screen. Every task with a due date emails you four times:</w:t>
      </w:r>
    </w:p>
    <w:p>
      <w:pPr>
        <w:pStyle w:val="ListBullet"/>
        <w:spacing w:after="60"/>
      </w:pPr>
      <w:r>
        <w:rPr>
          <w:b/>
          <w:sz w:val="22"/>
        </w:rPr>
        <w:t xml:space="preserve">When it is assigned to you — </w:t>
      </w:r>
      <w:r>
        <w:rPr>
          <w:sz w:val="22"/>
        </w:rPr>
        <w:t>immediately, by email and in the system.</w:t>
      </w:r>
    </w:p>
    <w:p>
      <w:pPr>
        <w:pStyle w:val="ListBullet"/>
        <w:spacing w:after="60"/>
      </w:pPr>
      <w:r>
        <w:rPr>
          <w:b/>
          <w:sz w:val="22"/>
        </w:rPr>
        <w:t>One week before it is due</w:t>
      </w:r>
      <w:r>
        <w:rPr>
          <w:sz w:val="22"/>
        </w:rPr>
      </w:r>
    </w:p>
    <w:p>
      <w:pPr>
        <w:pStyle w:val="ListBullet"/>
        <w:spacing w:after="60"/>
      </w:pPr>
      <w:r>
        <w:rPr>
          <w:b/>
          <w:sz w:val="22"/>
        </w:rPr>
        <w:t>Three days before it is due</w:t>
      </w:r>
      <w:r>
        <w:rPr>
          <w:sz w:val="22"/>
        </w:rPr>
      </w:r>
    </w:p>
    <w:p>
      <w:pPr>
        <w:pStyle w:val="ListBullet"/>
        <w:spacing w:after="60"/>
      </w:pPr>
      <w:r>
        <w:rPr>
          <w:b/>
          <w:sz w:val="22"/>
        </w:rPr>
        <w:t>On the day it is due</w:t>
      </w:r>
      <w:r>
        <w:rPr>
          <w:sz w:val="22"/>
        </w:rPr>
      </w:r>
    </w:p>
    <w:p>
      <w:pPr>
        <w:spacing w:after="160"/>
      </w:pPr>
      <w:r>
        <w:rPr>
          <w:b w:val="0"/>
          <w:i w:val="0"/>
          <w:color w:val="0F172A"/>
          <w:sz w:val="22"/>
        </w:rPr>
        <w:t>The three reminders arrive together in one message each morning, listing everything that needs you that day — not one email per task.</w:t>
      </w:r>
    </w:p>
    <w:p>
      <w:pPr>
        <w:pStyle w:val="Heading2"/>
      </w:pPr>
      <w:r>
        <w:t>5.2 Updating a task</w:t>
      </w:r>
    </w:p>
    <w:p>
      <w:pPr>
        <w:spacing w:after="160"/>
      </w:pPr>
      <w:r>
        <w:rPr>
          <w:b w:val="0"/>
          <w:i w:val="0"/>
          <w:color w:val="0F172A"/>
          <w:sz w:val="22"/>
        </w:rPr>
        <w:t>Select the status badge on a task to move it between To Do, In Progress, Waiting and Done. Keeping this up to date matters: it is what stops your manager chasing work you have already finished.</w:t>
      </w:r>
    </w:p>
    <w:p>
      <w:pPr>
        <w:pStyle w:val="Heading2"/>
      </w:pPr>
      <w:r>
        <w:t>5.3 Attaching a file to a task</w:t>
      </w:r>
    </w:p>
    <w:p>
      <w:pPr>
        <w:spacing w:after="160"/>
      </w:pPr>
      <w:r>
        <w:rPr>
          <w:b w:val="0"/>
          <w:i w:val="0"/>
          <w:color w:val="0F172A"/>
          <w:sz w:val="22"/>
        </w:rPr>
        <w:t>Each task row has a paperclip in the Actions column on the right. The number beside it tells you how many files are already attached. Select it to open the attachments window, where you can drag a file in or browse for one.</w:t>
      </w:r>
    </w:p>
    <w:p>
      <w:pPr>
        <w:spacing w:after="40"/>
        <w:jc w:val="center"/>
      </w:pPr>
      <w:r>
        <w:drawing>
          <wp:inline xmlns:a="http://schemas.openxmlformats.org/drawingml/2006/main" xmlns:pic="http://schemas.openxmlformats.org/drawingml/2006/picture">
            <wp:extent cx="5852160" cy="36576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852160" cy="3657600"/>
                    </a:xfrm>
                    <a:prstGeom prst="rect"/>
                  </pic:spPr>
                </pic:pic>
              </a:graphicData>
            </a:graphic>
          </wp:inline>
        </w:drawing>
      </w:r>
    </w:p>
    <w:p>
      <w:pPr>
        <w:spacing w:after="280"/>
        <w:jc w:val="center"/>
      </w:pPr>
      <w:r>
        <w:rPr>
          <w:i/>
          <w:color w:val="5A6678"/>
          <w:sz w:val="18"/>
        </w:rPr>
        <w:t>Figure 15 — The attachments window for a task.</w:t>
      </w:r>
    </w:p>
    <w:p>
      <w:pPr>
        <w:pStyle w:val="ListBullet"/>
        <w:spacing w:after="60"/>
      </w:pPr>
      <w:r>
        <w:rPr>
          <w:sz w:val="22"/>
        </w:rPr>
        <w:t>Files can be added by the person who holds the task and the person who assigned it.</w:t>
      </w:r>
    </w:p>
    <w:p>
      <w:pPr>
        <w:pStyle w:val="ListBullet"/>
        <w:spacing w:after="60"/>
      </w:pPr>
      <w:r>
        <w:rPr>
          <w:sz w:val="22"/>
        </w:rPr>
        <w:t>You can always delete a file you uploaded yourself.</w:t>
      </w:r>
    </w:p>
    <w:p>
      <w:pPr>
        <w:pStyle w:val="ListBullet"/>
        <w:spacing w:after="60"/>
      </w:pPr>
      <w:r>
        <w:rPr>
          <w:b/>
          <w:sz w:val="22"/>
        </w:rPr>
        <w:t xml:space="preserve">Accepted: </w:t>
      </w:r>
      <w:r>
        <w:rPr>
          <w:sz w:val="22"/>
        </w:rPr>
        <w:t>PDF, images (PNG, JPG, WEBP), Office files (DOCX, XLSX, PPTX), CSV and ZIP.</w:t>
      </w:r>
    </w:p>
    <w:p>
      <w:pPr>
        <w:pStyle w:val="ListBullet"/>
        <w:spacing w:after="60"/>
      </w:pPr>
      <w:r>
        <w:rPr>
          <w:b/>
          <w:sz w:val="22"/>
        </w:rPr>
        <w:t xml:space="preserve">Refused: </w:t>
      </w:r>
      <w:r>
        <w:rPr>
          <w:sz w:val="22"/>
        </w:rPr>
        <w:t>web pages and program files (HTML, SVG, EXE). This is a safety rule and cannot be overridden.</w:t>
      </w:r>
    </w:p>
    <w:p>
      <w:pPr>
        <w:pStyle w:val="ListBullet"/>
        <w:spacing w:after="60"/>
      </w:pPr>
      <w:r>
        <w:rPr>
          <w:b/>
          <w:sz w:val="22"/>
        </w:rPr>
        <w:t xml:space="preserve">Size limit: </w:t>
      </w:r>
      <w:r>
        <w:rPr>
          <w:sz w:val="22"/>
        </w:rPr>
        <w:t>3 MB per file. For anything larger, put it in the shared drive and attach a link in the task description.</w:t>
      </w:r>
    </w:p>
    <w:p>
      <w:pPr>
        <w:pStyle w:val="Heading2"/>
      </w:pPr>
      <w:r>
        <w:t>5.4 Creating a task</w:t>
      </w:r>
    </w:p>
    <w:p>
      <w:pPr>
        <w:spacing w:after="160"/>
      </w:pPr>
      <w:r>
        <w:rPr>
          <w:b w:val="0"/>
          <w:i w:val="0"/>
          <w:color w:val="0F172A"/>
          <w:sz w:val="22"/>
        </w:rPr>
        <w:t>Select Create Task at the right of the filter bar.</w:t>
      </w:r>
    </w:p>
    <w:p>
      <w:pPr>
        <w:spacing w:after="40"/>
        <w:jc w:val="center"/>
      </w:pPr>
      <w:r>
        <w:drawing>
          <wp:inline xmlns:a="http://schemas.openxmlformats.org/drawingml/2006/main" xmlns:pic="http://schemas.openxmlformats.org/drawingml/2006/picture">
            <wp:extent cx="5852160" cy="365760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852160" cy="3657600"/>
                    </a:xfrm>
                    <a:prstGeom prst="rect"/>
                  </pic:spPr>
                </pic:pic>
              </a:graphicData>
            </a:graphic>
          </wp:inline>
        </w:drawing>
      </w:r>
    </w:p>
    <w:p>
      <w:pPr>
        <w:spacing w:after="280"/>
        <w:jc w:val="center"/>
      </w:pPr>
      <w:r>
        <w:rPr>
          <w:i/>
          <w:color w:val="5A6678"/>
          <w:sz w:val="18"/>
        </w:rPr>
        <w:t>Figure 16 — The Create Task window.</w:t>
      </w:r>
    </w:p>
    <w:p>
      <w:pPr>
        <w:pStyle w:val="ListNumber"/>
        <w:spacing w:after="80"/>
      </w:pPr>
      <w:r>
        <w:rPr>
          <w:sz w:val="22"/>
        </w:rPr>
        <w:t>Title — required. Write what needs doing, not the subject area. “Call the three Nairobi applicants” is useful; “Nairobi” is not.</w:t>
      </w:r>
    </w:p>
    <w:p>
      <w:pPr>
        <w:pStyle w:val="ListNumber"/>
        <w:spacing w:after="80"/>
      </w:pPr>
      <w:r>
        <w:rPr>
          <w:sz w:val="22"/>
        </w:rPr>
        <w:t>Description — optional, but this is where handover detail belongs.</w:t>
      </w:r>
    </w:p>
    <w:p>
      <w:pPr>
        <w:pStyle w:val="ListNumber"/>
        <w:spacing w:after="80"/>
      </w:pPr>
      <w:r>
        <w:rPr>
          <w:sz w:val="22"/>
        </w:rPr>
        <w:t>Category — Personal or Internal if the task stands alone. Any other category needs a linked record, which you choose under Related Record just below.</w:t>
      </w:r>
    </w:p>
    <w:p>
      <w:pPr>
        <w:pStyle w:val="ListNumber"/>
        <w:spacing w:after="80"/>
      </w:pPr>
      <w:r>
        <w:rPr>
          <w:sz w:val="22"/>
        </w:rPr>
        <w:t>Related Record — only if the category requires it. Pick the Type, then the Record. Leave both as None for a personal or internal task.</w:t>
      </w:r>
    </w:p>
    <w:p>
      <w:pPr>
        <w:pStyle w:val="ListNumber"/>
        <w:spacing w:after="80"/>
      </w:pPr>
      <w:r>
        <w:rPr>
          <w:sz w:val="22"/>
        </w:rPr>
        <w:t>Assignee — yourself, or someone who reports to you. See the note below.</w:t>
      </w:r>
    </w:p>
    <w:p>
      <w:pPr>
        <w:pStyle w:val="ListNumber"/>
        <w:spacing w:after="80"/>
      </w:pPr>
      <w:r>
        <w:rPr>
          <w:sz w:val="22"/>
        </w:rPr>
        <w:t>Priority and Due Date — the due date is what drives the reminder emails. A task with no due date sends none.</w:t>
      </w:r>
    </w:p>
    <w:p>
      <w:pPr>
        <w:pStyle w:val="ListNumber"/>
        <w:spacing w:after="80"/>
      </w:pPr>
      <w:r>
        <w:rPr>
          <w:sz w:val="22"/>
        </w:rPr>
        <w:t>Select Create.</w:t>
      </w:r>
    </w:p>
    <w:tbl>
      <w:tblPr>
        <w:tblW w:type="auto" w:w="0"/>
        <w:jc w:val="center"/>
        <w:tblLook w:firstColumn="1" w:firstRow="1" w:lastColumn="0" w:lastRow="0" w:noHBand="0" w:noVBand="1" w:val="04A0"/>
      </w:tblPr>
      <w:tblGrid>
        <w:gridCol w:w="9648"/>
      </w:tblGrid>
      <w:tr>
        <w:tc>
          <w:tcPr>
            <w:tcW w:type="dxa" w:w="9504"/>
            <w:shd w:val="clear" w:fill="FFF7E6"/>
          </w:tcPr>
          <w:p>
            <w:pPr>
              <w:spacing w:after="40"/>
            </w:pPr>
            <w:r>
              <w:rPr>
                <w:b/>
                <w:color w:val="B45309"/>
                <w:sz w:val="21"/>
              </w:rPr>
              <w:t>If the task will not save</w:t>
            </w:r>
          </w:p>
          <w:p>
            <w:pPr>
              <w:spacing w:after="40"/>
            </w:pPr>
            <w:r>
              <w:rPr>
                <w:sz w:val="21"/>
              </w:rPr>
              <w:t>The usual reason is Category. Anything other than Personal or Internal must be attached to a record — a student, an institution, an event. Either pick the record under Related Record, or change the category.</w:t>
            </w:r>
          </w:p>
        </w:tc>
      </w:tr>
    </w:tbl>
    <w:p>
      <w:pPr>
        <w:spacing w:after="80"/>
      </w:pPr>
    </w:p>
    <w:tbl>
      <w:tblPr>
        <w:tblW w:type="auto" w:w="0"/>
        <w:jc w:val="center"/>
        <w:tblLook w:firstColumn="1" w:firstRow="1" w:lastColumn="0" w:lastRow="0" w:noHBand="0" w:noVBand="1" w:val="04A0"/>
      </w:tblPr>
      <w:tblGrid>
        <w:gridCol w:w="9648"/>
      </w:tblGrid>
      <w:tr>
        <w:tc>
          <w:tcPr>
            <w:tcW w:type="dxa" w:w="9504"/>
            <w:shd w:val="clear" w:fill="F1F5F9"/>
          </w:tcPr>
          <w:p>
            <w:pPr>
              <w:spacing w:after="40"/>
            </w:pPr>
            <w:r>
              <w:rPr>
                <w:b/>
                <w:color w:val="1E3A5F"/>
                <w:sz w:val="21"/>
              </w:rPr>
              <w:t>Who you can assign a task to</w:t>
            </w:r>
          </w:p>
          <w:p>
            <w:pPr>
              <w:spacing w:after="40"/>
            </w:pPr>
            <w:r>
              <w:rPr>
                <w:sz w:val="21"/>
              </w:rPr>
              <w:t>You can assign a task to yourself, or to someone who reports directly to you. That is the whole list, and it is the same for everyone including administrators. If you need something done by someone outside your team, ask their manager to raise it.</w:t>
            </w:r>
          </w:p>
        </w:tc>
      </w:tr>
    </w:tbl>
    <w:p>
      <w:pPr>
        <w:spacing w:after="80"/>
      </w:pPr>
    </w:p>
    <w:p>
      <w:r>
        <w:br w:type="page"/>
      </w:r>
    </w:p>
    <w:p>
      <w:pPr>
        <w:pStyle w:val="Heading1"/>
      </w:pPr>
      <w:r>
        <w:t>6. If something goes wrong</w:t>
      </w:r>
    </w:p>
    <w:tbl>
      <w:tblPr>
        <w:tblStyle w:val="TableGrid"/>
        <w:tblW w:type="auto" w:w="0"/>
        <w:jc w:val="center"/>
        <w:tblLook w:firstColumn="1" w:firstRow="1" w:lastColumn="0" w:lastRow="0" w:noHBand="0" w:noVBand="1" w:val="04A0"/>
      </w:tblPr>
      <w:tblGrid>
        <w:gridCol w:w="4824"/>
        <w:gridCol w:w="4824"/>
      </w:tblGrid>
      <w:tr>
        <w:tc>
          <w:tcPr>
            <w:tcW w:type="dxa" w:w="3168"/>
            <w:shd w:val="clear" w:fill="1E3A5F"/>
          </w:tcPr>
          <w:p>
            <w:r>
              <w:rPr>
                <w:b/>
                <w:color w:val="FFFFFF"/>
                <w:sz w:val="20"/>
              </w:rPr>
              <w:t>Problem</w:t>
            </w:r>
          </w:p>
        </w:tc>
        <w:tc>
          <w:tcPr>
            <w:tcW w:type="dxa" w:w="6048"/>
            <w:shd w:val="clear" w:fill="1E3A5F"/>
          </w:tcPr>
          <w:p>
            <w:r>
              <w:rPr>
                <w:b/>
                <w:color w:val="FFFFFF"/>
                <w:sz w:val="20"/>
              </w:rPr>
              <w:t>What to do</w:t>
            </w:r>
          </w:p>
        </w:tc>
      </w:tr>
      <w:tr>
        <w:tc>
          <w:tcPr>
            <w:tcW w:type="dxa" w:w="3168"/>
          </w:tcPr>
          <w:p>
            <w:r>
              <w:rPr>
                <w:sz w:val="20"/>
              </w:rPr>
              <w:t>My 6-digit code is refused.</w:t>
            </w:r>
          </w:p>
        </w:tc>
        <w:tc>
          <w:tcPr>
            <w:tcW w:type="dxa" w:w="6048"/>
          </w:tcPr>
          <w:p>
            <w:r>
              <w:rPr>
                <w:sz w:val="20"/>
              </w:rPr>
              <w:t>Wait for your app to show a new code and try again. If it keeps failing, your phone's clock may be wrong — turn on automatic date and time on the phone.</w:t>
            </w:r>
          </w:p>
        </w:tc>
      </w:tr>
      <w:tr>
        <w:tc>
          <w:tcPr>
            <w:tcW w:type="dxa" w:w="3168"/>
          </w:tcPr>
          <w:p>
            <w:r>
              <w:rPr>
                <w:sz w:val="20"/>
              </w:rPr>
              <w:t>I have lost my phone.</w:t>
            </w:r>
          </w:p>
        </w:tc>
        <w:tc>
          <w:tcPr>
            <w:tcW w:type="dxa" w:w="6048"/>
          </w:tcPr>
          <w:p>
            <w:r>
              <w:rPr>
                <w:sz w:val="20"/>
              </w:rPr>
              <w:t>Use one of your backup codes to sign in, then set up the authenticator again on your new phone. If you have no backup codes left, contact IT.</w:t>
            </w:r>
          </w:p>
        </w:tc>
      </w:tr>
      <w:tr>
        <w:tc>
          <w:tcPr>
            <w:tcW w:type="dxa" w:w="3168"/>
          </w:tcPr>
          <w:p>
            <w:r>
              <w:rPr>
                <w:sz w:val="20"/>
              </w:rPr>
              <w:t>I have lost my phone and my backup codes.</w:t>
            </w:r>
          </w:p>
        </w:tc>
        <w:tc>
          <w:tcPr>
            <w:tcW w:type="dxa" w:w="6048"/>
          </w:tcPr>
          <w:p>
            <w:r>
              <w:rPr>
                <w:sz w:val="20"/>
              </w:rPr>
              <w:t>Contact IT. They will verify who you are and reset your two-factor setup. Nobody can do this for you over chat or email alone.</w:t>
            </w:r>
          </w:p>
        </w:tc>
      </w:tr>
      <w:tr>
        <w:tc>
          <w:tcPr>
            <w:tcW w:type="dxa" w:w="3168"/>
          </w:tcPr>
          <w:p>
            <w:r>
              <w:rPr>
                <w:sz w:val="20"/>
              </w:rPr>
              <w:t>My account is locked.</w:t>
            </w:r>
          </w:p>
        </w:tc>
        <w:tc>
          <w:tcPr>
            <w:tcW w:type="dxa" w:w="6048"/>
          </w:tcPr>
          <w:p>
            <w:r>
              <w:rPr>
                <w:sz w:val="20"/>
              </w:rPr>
              <w:t>Accounts lock after several failed attempts. Wait, then try again, or contact IT.</w:t>
            </w:r>
          </w:p>
        </w:tc>
      </w:tr>
      <w:tr>
        <w:tc>
          <w:tcPr>
            <w:tcW w:type="dxa" w:w="3168"/>
          </w:tcPr>
          <w:p>
            <w:r>
              <w:rPr>
                <w:sz w:val="20"/>
              </w:rPr>
              <w:t>I cannot see a menu item a colleague has.</w:t>
            </w:r>
          </w:p>
        </w:tc>
        <w:tc>
          <w:tcPr>
            <w:tcW w:type="dxa" w:w="6048"/>
          </w:tcPr>
          <w:p>
            <w:r>
              <w:rPr>
                <w:sz w:val="20"/>
              </w:rPr>
              <w:t>That is expected. People see only the parts of the system their role needs.</w:t>
            </w:r>
          </w:p>
        </w:tc>
      </w:tr>
      <w:tr>
        <w:tc>
          <w:tcPr>
            <w:tcW w:type="dxa" w:w="3168"/>
          </w:tcPr>
          <w:p>
            <w:r>
              <w:rPr>
                <w:sz w:val="20"/>
              </w:rPr>
              <w:t>The Holidays tab is empty.</w:t>
            </w:r>
          </w:p>
        </w:tc>
        <w:tc>
          <w:tcPr>
            <w:tcW w:type="dxa" w:w="6048"/>
          </w:tcPr>
          <w:p>
            <w:r>
              <w:rPr>
                <w:sz w:val="20"/>
              </w:rPr>
              <w:t>The calendar for your region has not been entered yet. Speak to HR before treating a day as a working day.</w:t>
            </w:r>
          </w:p>
        </w:tc>
      </w:tr>
    </w:tbl>
    <w:p>
      <w:pPr>
        <w:spacing w:after="240"/>
      </w:pPr>
    </w:p>
    <w:p>
      <w:pPr>
        <w:pStyle w:val="Heading2"/>
      </w:pPr>
      <w:r>
        <w:t>Keeping your account safe</w:t>
      </w:r>
    </w:p>
    <w:p>
      <w:pPr>
        <w:pStyle w:val="ListBullet"/>
        <w:spacing w:after="60"/>
      </w:pPr>
      <w:r>
        <w:rPr>
          <w:sz w:val="22"/>
        </w:rPr>
        <w:t>Never share your password, your QR code, your 6-digit codes or your backup codes with anyone — including anyone who says they are from IT.</w:t>
      </w:r>
    </w:p>
    <w:p>
      <w:pPr>
        <w:pStyle w:val="ListBullet"/>
        <w:spacing w:after="60"/>
      </w:pPr>
      <w:r>
        <w:rPr>
          <w:sz w:val="22"/>
        </w:rPr>
        <w:t>Illume will never ask you for a code by phone, email or message.</w:t>
      </w:r>
    </w:p>
    <w:p>
      <w:pPr>
        <w:pStyle w:val="ListBullet"/>
        <w:spacing w:after="60"/>
      </w:pPr>
      <w:r>
        <w:rPr>
          <w:sz w:val="22"/>
        </w:rPr>
        <w:t>Sign out when you finish on a shared or public computer.</w:t>
      </w:r>
    </w:p>
    <w:p>
      <w:pPr>
        <w:pStyle w:val="ListBullet"/>
        <w:spacing w:after="60"/>
      </w:pPr>
      <w:r>
        <w:rPr>
          <w:sz w:val="22"/>
        </w:rPr>
        <w:t>If you think someone else has used your account, tell IT the same day.</w:t>
      </w:r>
    </w:p>
    <w:p>
      <w:pPr>
        <w:spacing w:after="320"/>
      </w:pPr>
    </w:p>
    <w:p>
      <w:pPr>
        <w:spacing w:after="160"/>
      </w:pPr>
      <w:r>
        <w:rPr>
          <w:b/>
          <w:i w:val="0"/>
          <w:color w:val="1E3A5F"/>
          <w:sz w:val="22"/>
        </w:rPr>
        <w:t>Document control</w:t>
      </w:r>
    </w:p>
    <w:p>
      <w:pPr>
        <w:spacing w:after="160"/>
      </w:pPr>
      <w:r>
        <w:rPr>
          <w:b w:val="0"/>
          <w:i w:val="0"/>
          <w:color w:val="5A6678"/>
          <w:sz w:val="20"/>
        </w:rPr>
        <w:t>Owner: IT. Review: annually, or whenever the sign-in process changes. Questions about this guide, access or passwords should go to IT. Questions about leave entitlement, public holidays or your staff record should go to HR.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E3A5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F17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