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Illume CRM — Gap Analysis for Architecture Redesign</w:t>
      </w:r>
    </w:p>
    <w:p/>
    <w:p>
      <w:r>
        <w:rPr>
          <w:b/>
        </w:rPr>
        <w:t>Date:</w:t>
      </w:r>
      <w:r>
        <w:t xml:space="preserve"> 2026-08-09</w:t>
      </w:r>
    </w:p>
    <w:p>
      <w:r>
        <w:rPr>
          <w:b/>
        </w:rPr>
        <w:t>Purpose:</w:t>
      </w:r>
      <w:r>
        <w:t xml:space="preserve"> Phase 0 deliverable for the redesign per </w:t>
      </w:r>
      <w:r>
        <w:rPr>
          <w:rFonts w:ascii="Consolas" w:hAnsi="Consolas"/>
        </w:rPr>
        <w:t>crm.docx</w:t>
      </w:r>
      <w:r>
        <w:t>. Grounds the implementation plan in what the codebase actually contains today, not assumptions.</w:t>
      </w:r>
    </w:p>
    <w:p/>
    <w:p/>
    <w:p/>
    <w:p>
      <w:pPr>
        <w:pStyle w:val="Heading2"/>
      </w:pPr>
      <w:r>
        <w:t>1. Lead Model Blast Radius (Student ↔ Institution Interest Split)</w:t>
      </w:r>
    </w:p>
    <w:p/>
    <w:p>
      <w:r>
        <w:t>The Student Profile / Institution Interest split is the load-bearing change. Everything the redesign proposes depends on this working.</w:t>
      </w:r>
    </w:p>
    <w:p/>
    <w:p>
      <w:pPr>
        <w:pStyle w:val="Heading3"/>
      </w:pPr>
      <w:r>
        <w:t>Call site inventory — `prisma.lead.*` (≈80+ operations)</w:t>
      </w:r>
    </w:p>
    <w:p/>
    <w:p>
      <w:r>
        <w:rPr>
          <w:b/>
        </w:rPr>
        <w:t>API routes (CRUD):</w:t>
      </w:r>
    </w:p>
    <w:p>
      <w:pPr>
        <w:pStyle w:val="ListBullet"/>
      </w:pPr>
      <w:r>
        <w:rPr>
          <w:rFonts w:ascii="Consolas" w:hAnsi="Consolas"/>
        </w:rPr>
        <w:t>app/api/leads/route.ts</w:t>
      </w:r>
      <w:r>
        <w:t xml:space="preserve"> — list, create</w:t>
      </w:r>
    </w:p>
    <w:p>
      <w:pPr>
        <w:pStyle w:val="ListBullet"/>
      </w:pPr>
      <w:r>
        <w:rPr>
          <w:rFonts w:ascii="Consolas" w:hAnsi="Consolas"/>
        </w:rPr>
        <w:t>app/api/leads/[id]/route.ts</w:t>
      </w:r>
      <w:r>
        <w:t xml:space="preserve"> — fetch, update (2×), updateMany</w:t>
      </w:r>
    </w:p>
    <w:p>
      <w:pPr>
        <w:pStyle w:val="ListBullet"/>
      </w:pPr>
      <w:r>
        <w:rPr>
          <w:rFonts w:ascii="Consolas" w:hAnsi="Consolas"/>
        </w:rPr>
        <w:t>app/api/leads/[id]/stage/route.ts</w:t>
      </w:r>
      <w:r>
        <w:t xml:space="preserve"> — stage change</w:t>
      </w:r>
    </w:p>
    <w:p>
      <w:pPr>
        <w:pStyle w:val="ListBullet"/>
      </w:pPr>
      <w:r>
        <w:rPr>
          <w:rFonts w:ascii="Consolas" w:hAnsi="Consolas"/>
        </w:rPr>
        <w:t>app/api/leads/[id]/close/route.ts</w:t>
      </w:r>
      <w:r>
        <w:t xml:space="preserve"> — loss / deferral / rejection</w:t>
      </w:r>
    </w:p>
    <w:p>
      <w:pPr>
        <w:pStyle w:val="ListBullet"/>
      </w:pPr>
      <w:r>
        <w:rPr>
          <w:rFonts w:ascii="Consolas" w:hAnsi="Consolas"/>
        </w:rPr>
        <w:t>app/api/leads/[id]/activities/route.ts</w:t>
      </w:r>
      <w:r>
        <w:t xml:space="preserve"> — engagement complete side-effect</w:t>
      </w:r>
    </w:p>
    <w:p>
      <w:pPr>
        <w:pStyle w:val="ListBullet"/>
      </w:pPr>
      <w:r>
        <w:rPr>
          <w:rFonts w:ascii="Consolas" w:hAnsi="Consolas"/>
        </w:rPr>
        <w:t>app/api/leads/[id]/applications/route.ts</w:t>
      </w:r>
      <w:r>
        <w:t xml:space="preserve"> — application context</w:t>
      </w:r>
    </w:p>
    <w:p>
      <w:pPr>
        <w:pStyle w:val="ListBullet"/>
      </w:pPr>
      <w:r>
        <w:rPr>
          <w:rFonts w:ascii="Consolas" w:hAnsi="Consolas"/>
        </w:rPr>
        <w:t>app/api/leads/[id]/notes/route.ts</w:t>
      </w:r>
      <w:r>
        <w:t xml:space="preserve"> — read only</w:t>
      </w:r>
    </w:p>
    <w:p>
      <w:pPr>
        <w:pStyle w:val="ListBullet"/>
      </w:pPr>
      <w:r>
        <w:rPr>
          <w:rFonts w:ascii="Consolas" w:hAnsi="Consolas"/>
        </w:rPr>
        <w:t>app/api/leads/offline-sync/route.ts</w:t>
      </w:r>
      <w:r>
        <w:t xml:space="preserve"> — batch create with idempotency</w:t>
      </w:r>
    </w:p>
    <w:p>
      <w:pPr>
        <w:pStyle w:val="ListBullet"/>
      </w:pPr>
      <w:r>
        <w:rPr>
          <w:rFonts w:ascii="Consolas" w:hAnsi="Consolas"/>
        </w:rPr>
        <w:t>app/api/leads/offline-reference/route.ts</w:t>
      </w:r>
      <w:r>
        <w:t xml:space="preserve"> — dropdown reference data</w:t>
      </w:r>
    </w:p>
    <w:p/>
    <w:p>
      <w:r>
        <w:rPr>
          <w:b/>
        </w:rPr>
        <w:t>Analytics (read-heavy aggregations — most affected by group-by changes):</w:t>
      </w:r>
    </w:p>
    <w:p>
      <w:pPr>
        <w:pStyle w:val="ListBullet"/>
      </w:pPr>
      <w:r>
        <w:rPr>
          <w:rFonts w:ascii="Consolas" w:hAnsi="Consolas"/>
        </w:rPr>
        <w:t>app/api/analytics/executive/route.ts</w:t>
      </w:r>
      <w:r>
        <w:t xml:space="preserve"> — count ×3, groupBy</w:t>
      </w:r>
    </w:p>
    <w:p>
      <w:pPr>
        <w:pStyle w:val="ListBullet"/>
      </w:pPr>
      <w:r>
        <w:rPr>
          <w:rFonts w:ascii="Consolas" w:hAnsi="Consolas"/>
        </w:rPr>
        <w:t>app/api/analytics/overview/route.ts</w:t>
      </w:r>
      <w:r>
        <w:t xml:space="preserve"> — count ×2, findMany ×2, groupBy ×5 (stage, country, source, country-enrolled, source-enrolled)</w:t>
      </w:r>
    </w:p>
    <w:p>
      <w:pPr>
        <w:pStyle w:val="ListBullet"/>
      </w:pPr>
      <w:r>
        <w:rPr>
          <w:rFonts w:ascii="Consolas" w:hAnsi="Consolas"/>
        </w:rPr>
        <w:t>app/api/analytics/regional/route.ts</w:t>
      </w:r>
      <w:r>
        <w:t xml:space="preserve"> — groupBy ×5</w:t>
      </w:r>
    </w:p>
    <w:p>
      <w:pPr>
        <w:pStyle w:val="ListBullet"/>
      </w:pPr>
      <w:r>
        <w:rPr>
          <w:rFonts w:ascii="Consolas" w:hAnsi="Consolas"/>
        </w:rPr>
        <w:t>app/api/dashboard/stats/route.ts</w:t>
      </w:r>
      <w:r>
        <w:t xml:space="preserve"> — count ×5, groupBy ×2</w:t>
      </w:r>
    </w:p>
    <w:p/>
    <w:p>
      <w:r>
        <w:rPr>
          <w:b/>
        </w:rPr>
        <w:t>Server components:</w:t>
      </w:r>
    </w:p>
    <w:p>
      <w:pPr>
        <w:pStyle w:val="ListBullet"/>
      </w:pPr>
      <w:r>
        <w:rPr>
          <w:rFonts w:ascii="Consolas" w:hAnsi="Consolas"/>
        </w:rPr>
        <w:t>app/(dashboard)/dashboard/page.tsx</w:t>
      </w:r>
      <w:r>
        <w:t xml:space="preserve"> — count ×6, groupBy ×4, findMany ×2</w:t>
      </w:r>
    </w:p>
    <w:p>
      <w:pPr>
        <w:pStyle w:val="ListBullet"/>
      </w:pPr>
      <w:r>
        <w:rPr>
          <w:rFonts w:ascii="Consolas" w:hAnsi="Consolas"/>
        </w:rPr>
        <w:t>app/(dashboard)/students/page.tsx</w:t>
      </w:r>
      <w:r>
        <w:t xml:space="preserve">, </w:t>
      </w:r>
      <w:r>
        <w:rPr>
          <w:rFonts w:ascii="Consolas" w:hAnsi="Consolas"/>
        </w:rPr>
        <w:t>students/[id]/page.tsx</w:t>
      </w:r>
    </w:p>
    <w:p>
      <w:pPr>
        <w:pStyle w:val="ListBullet"/>
      </w:pPr>
      <w:r>
        <w:rPr>
          <w:rFonts w:ascii="Consolas" w:hAnsi="Consolas"/>
        </w:rPr>
        <w:t>app/(dashboard)/search/page.tsx</w:t>
      </w:r>
    </w:p>
    <w:p>
      <w:pPr>
        <w:pStyle w:val="ListBullet"/>
      </w:pPr>
      <w:r>
        <w:rPr>
          <w:rFonts w:ascii="Consolas" w:hAnsi="Consolas"/>
        </w:rPr>
        <w:t>app/(dashboard)/stakeholders/page.tsx</w:t>
      </w:r>
      <w:r>
        <w:t xml:space="preserve"> — agent engagement count</w:t>
      </w:r>
    </w:p>
    <w:p/>
    <w:p>
      <w:r>
        <w:rPr>
          <w:b/>
        </w:rPr>
        <w:t>Reports:</w:t>
      </w:r>
    </w:p>
    <w:p>
      <w:pPr>
        <w:pStyle w:val="ListBullet"/>
      </w:pPr>
      <w:r>
        <w:rPr>
          <w:rFonts w:ascii="Consolas" w:hAnsi="Consolas"/>
        </w:rPr>
        <w:t>app/api/reports/route.ts</w:t>
      </w:r>
      <w:r>
        <w:t xml:space="preserve">, </w:t>
      </w:r>
      <w:r>
        <w:rPr>
          <w:rFonts w:ascii="Consolas" w:hAnsi="Consolas"/>
        </w:rPr>
        <w:t>reports/qbr/route.ts</w:t>
      </w:r>
      <w:r>
        <w:t xml:space="preserve">, </w:t>
      </w:r>
      <w:r>
        <w:rPr>
          <w:rFonts w:ascii="Consolas" w:hAnsi="Consolas"/>
        </w:rPr>
        <w:t>reports/weekly-report/route.ts</w:t>
      </w:r>
    </w:p>
    <w:p/>
    <w:p>
      <w:r>
        <w:rPr>
          <w:b/>
        </w:rPr>
        <w:t>Lib helpers:</w:t>
      </w:r>
    </w:p>
    <w:p>
      <w:pPr>
        <w:pStyle w:val="ListBullet"/>
      </w:pPr>
      <w:r>
        <w:rPr>
          <w:rFonts w:ascii="Consolas" w:hAnsi="Consolas"/>
        </w:rPr>
        <w:t>lib/lead-access.ts</w:t>
      </w:r>
      <w:r>
        <w:t xml:space="preserve"> — access gate</w:t>
      </w:r>
    </w:p>
    <w:p>
      <w:pPr>
        <w:pStyle w:val="ListBullet"/>
      </w:pPr>
      <w:r>
        <w:rPr>
          <w:rFonts w:ascii="Consolas" w:hAnsi="Consolas"/>
        </w:rPr>
        <w:t>lib/lead-automation.ts</w:t>
      </w:r>
      <w:r>
        <w:t xml:space="preserve"> — inactivity tracking, escalation, deferred reopening (called by </w:t>
      </w:r>
      <w:r>
        <w:rPr>
          <w:rFonts w:ascii="Consolas" w:hAnsi="Consolas"/>
        </w:rPr>
        <w:t>scripts/lead-automation.ts</w:t>
      </w:r>
      <w:r>
        <w:t xml:space="preserve"> cron)</w:t>
      </w:r>
    </w:p>
    <w:p/>
    <w:p>
      <w:pPr>
        <w:pStyle w:val="Heading3"/>
      </w:pPr>
      <w:r>
        <w:t>Type imports</w:t>
      </w:r>
    </w:p>
    <w:p>
      <w:r>
        <w:rPr>
          <w:rFonts w:ascii="Consolas" w:hAnsi="Consolas"/>
        </w:rPr>
        <w:t>Lead</w:t>
      </w:r>
      <w:r>
        <w:t xml:space="preserve"> and </w:t>
      </w:r>
      <w:r>
        <w:rPr>
          <w:rFonts w:ascii="Consolas" w:hAnsi="Consolas"/>
        </w:rPr>
        <w:t>LeadStage</w:t>
      </w:r>
      <w:r>
        <w:t xml:space="preserve"> are imported from </w:t>
      </w:r>
      <w:r>
        <w:rPr>
          <w:rFonts w:ascii="Consolas" w:hAnsi="Consolas"/>
        </w:rPr>
        <w:t>@prisma/client</w:t>
      </w:r>
      <w:r>
        <w:t xml:space="preserve"> in 7 files. A custom </w:t>
      </w:r>
      <w:r>
        <w:rPr>
          <w:rFonts w:ascii="Consolas" w:hAnsi="Consolas"/>
        </w:rPr>
        <w:t>LeadWithRelations</w:t>
      </w:r>
      <w:r>
        <w:t xml:space="preserve"> type in the students UI already includes an </w:t>
      </w:r>
      <w:r>
        <w:rPr>
          <w:rFonts w:ascii="Consolas" w:hAnsi="Consolas"/>
        </w:rPr>
        <w:t>institution</w:t>
      </w:r>
      <w:r>
        <w:t xml:space="preserve"> join — the split affects it directly.</w:t>
      </w:r>
    </w:p>
    <w:p/>
    <w:p>
      <w:pPr>
        <w:pStyle w:val="ListBullet"/>
      </w:pPr>
      <w:r>
        <w:rPr>
          <w:rFonts w:ascii="Consolas" w:hAnsi="Consolas"/>
        </w:rPr>
        <w:t>students/[id]/_components/lead-detail-client.tsx</w:t>
      </w:r>
    </w:p>
    <w:p>
      <w:pPr>
        <w:pStyle w:val="ListBullet"/>
      </w:pPr>
      <w:r>
        <w:rPr>
          <w:rFonts w:ascii="Consolas" w:hAnsi="Consolas"/>
        </w:rPr>
        <w:t>students/_components/lead-card.tsx</w:t>
      </w:r>
    </w:p>
    <w:p>
      <w:pPr>
        <w:pStyle w:val="ListBullet"/>
      </w:pPr>
      <w:r>
        <w:rPr>
          <w:rFonts w:ascii="Consolas" w:hAnsi="Consolas"/>
        </w:rPr>
        <w:t>students/_components/lead-form.tsx</w:t>
      </w:r>
    </w:p>
    <w:p>
      <w:pPr>
        <w:pStyle w:val="ListBullet"/>
      </w:pPr>
      <w:r>
        <w:rPr>
          <w:rFonts w:ascii="Consolas" w:hAnsi="Consolas"/>
        </w:rPr>
        <w:t>students/[id]/_components/close-outcome-dialog.tsx</w:t>
      </w:r>
    </w:p>
    <w:p>
      <w:pPr>
        <w:pStyle w:val="ListBullet"/>
      </w:pPr>
      <w:r>
        <w:rPr>
          <w:rFonts w:ascii="Consolas" w:hAnsi="Consolas"/>
        </w:rPr>
        <w:t>students/[id]/_components/stage-selector.tsx</w:t>
      </w:r>
    </w:p>
    <w:p>
      <w:pPr>
        <w:pStyle w:val="ListBullet"/>
      </w:pPr>
      <w:r>
        <w:rPr>
          <w:rFonts w:ascii="Consolas" w:hAnsi="Consolas"/>
        </w:rPr>
        <w:t>students/_components/kanban-board.tsx</w:t>
      </w:r>
    </w:p>
    <w:p>
      <w:pPr>
        <w:pStyle w:val="ListBullet"/>
      </w:pPr>
      <w:r>
        <w:rPr>
          <w:rFonts w:ascii="Consolas" w:hAnsi="Consolas"/>
        </w:rPr>
        <w:t>students/_components/lead-list-view.tsx</w:t>
      </w:r>
    </w:p>
    <w:p>
      <w:pPr>
        <w:pStyle w:val="ListBullet"/>
      </w:pPr>
      <w:r>
        <w:rPr>
          <w:rFonts w:ascii="Consolas" w:hAnsi="Consolas"/>
        </w:rPr>
        <w:t>students/_components/students-client.tsx</w:t>
      </w:r>
    </w:p>
    <w:p>
      <w:pPr>
        <w:pStyle w:val="ListBullet"/>
      </w:pPr>
      <w:r>
        <w:rPr>
          <w:rFonts w:ascii="Consolas" w:hAnsi="Consolas"/>
        </w:rPr>
        <w:t>app/api/leads/[id]/stage/route.ts</w:t>
      </w:r>
    </w:p>
    <w:p>
      <w:pPr>
        <w:pStyle w:val="ListBullet"/>
      </w:pPr>
      <w:r>
        <w:rPr>
          <w:rFonts w:ascii="Consolas" w:hAnsi="Consolas"/>
        </w:rPr>
        <w:t>lib/lead-pipeline.ts</w:t>
      </w:r>
    </w:p>
    <w:p/>
    <w:p>
      <w:pPr>
        <w:pStyle w:val="Heading3"/>
      </w:pPr>
      <w:r>
        <w:t>Fields — who owns what after the split</w:t>
      </w:r>
    </w:p>
    <w:p/>
    <w:p>
      <w:r>
        <w:rPr>
          <w:b/>
        </w:rPr>
        <w:t>Move to `InstitutionInterest` (per-institution journey):</w:t>
      </w:r>
    </w:p>
    <w:p>
      <w:pPr>
        <w:pStyle w:val="ListBullet"/>
      </w:pPr>
      <w:r>
        <w:rPr>
          <w:rFonts w:ascii="Consolas" w:hAnsi="Consolas"/>
        </w:rPr>
        <w:t>institutionId</w:t>
      </w:r>
      <w:r>
        <w:t xml:space="preserve"> — FK becomes primary key material</w:t>
      </w:r>
    </w:p>
    <w:p>
      <w:pPr>
        <w:pStyle w:val="ListBullet"/>
      </w:pPr>
      <w:r>
        <w:rPr>
          <w:rFonts w:ascii="Consolas" w:hAnsi="Consolas"/>
        </w:rPr>
        <w:t>stage: LeadStage</w:t>
      </w:r>
      <w:r>
        <w:t xml:space="preserve"> — pipeline position, per institution</w:t>
      </w:r>
    </w:p>
    <w:p>
      <w:pPr>
        <w:pStyle w:val="ListBullet"/>
      </w:pPr>
      <w:r>
        <w:rPr>
          <w:rFonts w:ascii="Consolas" w:hAnsi="Consolas"/>
        </w:rPr>
        <w:t>activeApplicationId</w:t>
      </w:r>
      <w:r>
        <w:t xml:space="preserve"> — FK to LeadApplication</w:t>
      </w:r>
    </w:p>
    <w:p>
      <w:pPr>
        <w:pStyle w:val="ListBullet"/>
      </w:pPr>
      <w:r>
        <w:rPr>
          <w:rFonts w:ascii="Consolas" w:hAnsi="Consolas"/>
        </w:rPr>
        <w:t>stageEnteredAt</w:t>
      </w:r>
      <w:r>
        <w:t xml:space="preserve">, </w:t>
      </w:r>
      <w:r>
        <w:rPr>
          <w:rFonts w:ascii="Consolas" w:hAnsi="Consolas"/>
        </w:rPr>
        <w:t>stageBeforeClose</w:t>
      </w:r>
      <w:r>
        <w:t xml:space="preserve">, </w:t>
      </w:r>
      <w:r>
        <w:rPr>
          <w:rFonts w:ascii="Consolas" w:hAnsi="Consolas"/>
        </w:rPr>
        <w:t>lastProgressedAt</w:t>
      </w:r>
    </w:p>
    <w:p>
      <w:pPr>
        <w:pStyle w:val="ListBullet"/>
      </w:pPr>
      <w:r>
        <w:rPr>
          <w:rFonts w:ascii="Consolas" w:hAnsi="Consolas"/>
        </w:rPr>
        <w:t>lastContactedAt</w:t>
      </w:r>
      <w:r>
        <w:t xml:space="preserve">, </w:t>
      </w:r>
      <w:r>
        <w:rPr>
          <w:rFonts w:ascii="Consolas" w:hAnsi="Consolas"/>
        </w:rPr>
        <w:t>inactivity14NotifiedAt</w:t>
      </w:r>
      <w:r>
        <w:t xml:space="preserve">, </w:t>
      </w:r>
      <w:r>
        <w:rPr>
          <w:rFonts w:ascii="Consolas" w:hAnsi="Consolas"/>
        </w:rPr>
        <w:t>inactivity21NotifiedAt</w:t>
      </w:r>
    </w:p>
    <w:p>
      <w:pPr>
        <w:pStyle w:val="ListBullet"/>
      </w:pPr>
      <w:r>
        <w:rPr>
          <w:rFonts w:ascii="Consolas" w:hAnsi="Consolas"/>
        </w:rPr>
        <w:t>isConverted</w:t>
      </w:r>
      <w:r>
        <w:t xml:space="preserve">, </w:t>
      </w:r>
      <w:r>
        <w:rPr>
          <w:rFonts w:ascii="Consolas" w:hAnsi="Consolas"/>
        </w:rPr>
        <w:t>commissionEligible</w:t>
      </w:r>
      <w:r>
        <w:t xml:space="preserve">, </w:t>
      </w:r>
      <w:r>
        <w:rPr>
          <w:rFonts w:ascii="Consolas" w:hAnsi="Consolas"/>
        </w:rPr>
        <w:t>convertedAt</w:t>
      </w:r>
      <w:r>
        <w:t xml:space="preserve">, </w:t>
      </w:r>
      <w:r>
        <w:rPr>
          <w:rFonts w:ascii="Consolas" w:hAnsi="Consolas"/>
        </w:rPr>
        <w:t>enrolmentDate</w:t>
      </w:r>
    </w:p>
    <w:p/>
    <w:p>
      <w:r>
        <w:rPr>
          <w:b/>
        </w:rPr>
        <w:t>Stay on `Lead` (Student Profile):</w:t>
      </w:r>
    </w:p>
    <w:p>
      <w:pPr>
        <w:pStyle w:val="ListBullet"/>
      </w:pPr>
      <w:r>
        <w:t xml:space="preserve">Person: </w:t>
      </w:r>
      <w:r>
        <w:rPr>
          <w:rFonts w:ascii="Consolas" w:hAnsi="Consolas"/>
        </w:rPr>
        <w:t>firstName</w:t>
      </w:r>
      <w:r>
        <w:t xml:space="preserve">, </w:t>
      </w:r>
      <w:r>
        <w:rPr>
          <w:rFonts w:ascii="Consolas" w:hAnsi="Consolas"/>
        </w:rPr>
        <w:t>lastName</w:t>
      </w:r>
      <w:r>
        <w:t xml:space="preserve">, </w:t>
      </w:r>
      <w:r>
        <w:rPr>
          <w:rFonts w:ascii="Consolas" w:hAnsi="Consolas"/>
        </w:rPr>
        <w:t>email</w:t>
      </w:r>
      <w:r>
        <w:t xml:space="preserve">, </w:t>
      </w:r>
      <w:r>
        <w:rPr>
          <w:rFonts w:ascii="Consolas" w:hAnsi="Consolas"/>
        </w:rPr>
        <w:t>phone</w:t>
      </w:r>
      <w:r>
        <w:t xml:space="preserve">, </w:t>
      </w:r>
      <w:r>
        <w:rPr>
          <w:rFonts w:ascii="Consolas" w:hAnsi="Consolas"/>
        </w:rPr>
        <w:t>nationality</w:t>
      </w:r>
      <w:r>
        <w:t xml:space="preserve">, </w:t>
      </w:r>
      <w:r>
        <w:rPr>
          <w:rFonts w:ascii="Consolas" w:hAnsi="Consolas"/>
        </w:rPr>
        <w:t>countryOfResidence</w:t>
      </w:r>
    </w:p>
    <w:p>
      <w:pPr>
        <w:pStyle w:val="ListBullet"/>
      </w:pPr>
      <w:r>
        <w:t xml:space="preserve">Initial interest: </w:t>
      </w:r>
      <w:r>
        <w:rPr>
          <w:rFonts w:ascii="Consolas" w:hAnsi="Consolas"/>
        </w:rPr>
        <w:t>interestedProgram</w:t>
      </w:r>
      <w:r>
        <w:t xml:space="preserve">, </w:t>
      </w:r>
      <w:r>
        <w:rPr>
          <w:rFonts w:ascii="Consolas" w:hAnsi="Consolas"/>
        </w:rPr>
        <w:t>faculty</w:t>
      </w:r>
      <w:r>
        <w:t xml:space="preserve">, </w:t>
      </w:r>
      <w:r>
        <w:rPr>
          <w:rFonts w:ascii="Consolas" w:hAnsi="Consolas"/>
        </w:rPr>
        <w:t>studyLevel</w:t>
      </w:r>
      <w:r>
        <w:t xml:space="preserve">, </w:t>
      </w:r>
      <w:r>
        <w:rPr>
          <w:rFonts w:ascii="Consolas" w:hAnsi="Consolas"/>
        </w:rPr>
        <w:t>intakeYear</w:t>
      </w:r>
      <w:r>
        <w:t xml:space="preserve">, </w:t>
      </w:r>
      <w:r>
        <w:rPr>
          <w:rFonts w:ascii="Consolas" w:hAnsi="Consolas"/>
        </w:rPr>
        <w:t>intakeMonth</w:t>
      </w:r>
    </w:p>
    <w:p>
      <w:pPr>
        <w:pStyle w:val="ListBullet"/>
      </w:pPr>
      <w:r>
        <w:t xml:space="preserve">Attribution: </w:t>
      </w:r>
      <w:r>
        <w:rPr>
          <w:rFonts w:ascii="Consolas" w:hAnsi="Consolas"/>
        </w:rPr>
        <w:t>sourceId</w:t>
      </w:r>
      <w:r>
        <w:t xml:space="preserve">, </w:t>
      </w:r>
      <w:r>
        <w:rPr>
          <w:rFonts w:ascii="Consolas" w:hAnsi="Consolas"/>
        </w:rPr>
        <w:t>eventId</w:t>
      </w:r>
      <w:r>
        <w:t xml:space="preserve">, </w:t>
      </w:r>
      <w:r>
        <w:rPr>
          <w:rFonts w:ascii="Consolas" w:hAnsi="Consolas"/>
        </w:rPr>
        <w:t>marketingConsent</w:t>
      </w:r>
      <w:r>
        <w:t xml:space="preserve">, </w:t>
      </w:r>
      <w:r>
        <w:rPr>
          <w:rFonts w:ascii="Consolas" w:hAnsi="Consolas"/>
        </w:rPr>
        <w:t>marketingConsentAt</w:t>
      </w:r>
    </w:p>
    <w:p>
      <w:pPr>
        <w:pStyle w:val="ListBullet"/>
      </w:pPr>
      <w:r>
        <w:t xml:space="preserve">Dedup: </w:t>
      </w:r>
      <w:r>
        <w:rPr>
          <w:rFonts w:ascii="Consolas" w:hAnsi="Consolas"/>
        </w:rPr>
        <w:t>isDuplicate</w:t>
      </w:r>
      <w:r>
        <w:t xml:space="preserve">, </w:t>
      </w:r>
      <w:r>
        <w:rPr>
          <w:rFonts w:ascii="Consolas" w:hAnsi="Consolas"/>
        </w:rPr>
        <w:t>duplicateOfId</w:t>
      </w:r>
      <w:r>
        <w:t xml:space="preserve">, </w:t>
      </w:r>
      <w:r>
        <w:rPr>
          <w:rFonts w:ascii="Consolas" w:hAnsi="Consolas"/>
        </w:rPr>
        <w:t>captureId</w:t>
      </w:r>
    </w:p>
    <w:p>
      <w:pPr>
        <w:pStyle w:val="ListBullet"/>
      </w:pPr>
      <w:r>
        <w:t xml:space="preserve">Lifecycle: </w:t>
      </w:r>
      <w:r>
        <w:rPr>
          <w:rFonts w:ascii="Consolas" w:hAnsi="Consolas"/>
        </w:rPr>
        <w:t>createdById</w:t>
      </w:r>
      <w:r>
        <w:t xml:space="preserve">, </w:t>
      </w:r>
      <w:r>
        <w:rPr>
          <w:rFonts w:ascii="Consolas" w:hAnsi="Consolas"/>
        </w:rPr>
        <w:t>createdAt</w:t>
      </w:r>
      <w:r>
        <w:t xml:space="preserve">, </w:t>
      </w:r>
      <w:r>
        <w:rPr>
          <w:rFonts w:ascii="Consolas" w:hAnsi="Consolas"/>
        </w:rPr>
        <w:t>updatedAt</w:t>
      </w:r>
      <w:r>
        <w:t xml:space="preserve">, </w:t>
      </w:r>
      <w:r>
        <w:rPr>
          <w:rFonts w:ascii="Consolas" w:hAnsi="Consolas"/>
        </w:rPr>
        <w:t>deletedAt</w:t>
      </w:r>
    </w:p>
    <w:p>
      <w:pPr>
        <w:pStyle w:val="ListBullet"/>
      </w:pPr>
      <w:r>
        <w:t xml:space="preserve">Assignment: </w:t>
      </w:r>
      <w:r>
        <w:rPr>
          <w:rFonts w:ascii="Consolas" w:hAnsi="Consolas"/>
        </w:rPr>
        <w:t>regionId</w:t>
      </w:r>
      <w:r>
        <w:t xml:space="preserve">, </w:t>
      </w:r>
      <w:r>
        <w:rPr>
          <w:rFonts w:ascii="Consolas" w:hAnsi="Consolas"/>
        </w:rPr>
        <w:t>assignedICRId</w:t>
      </w:r>
      <w:r>
        <w:t xml:space="preserve"> (primary owner)</w:t>
      </w:r>
    </w:p>
    <w:p/>
    <w:p>
      <w:r>
        <w:rPr>
          <w:b/>
        </w:rPr>
        <w:t>Ambiguous — needs product call (see decisions doc):</w:t>
      </w:r>
    </w:p>
    <w:p>
      <w:pPr>
        <w:pStyle w:val="ListBullet"/>
      </w:pPr>
      <w:r>
        <w:rPr>
          <w:rFonts w:ascii="Consolas" w:hAnsi="Consolas"/>
        </w:rPr>
        <w:t>lostReason</w:t>
      </w:r>
      <w:r>
        <w:t xml:space="preserve">, </w:t>
      </w:r>
      <w:r>
        <w:rPr>
          <w:rFonts w:ascii="Consolas" w:hAnsi="Consolas"/>
        </w:rPr>
        <w:t>lostDate</w:t>
      </w:r>
      <w:r>
        <w:t xml:space="preserve">, </w:t>
      </w:r>
      <w:r>
        <w:rPr>
          <w:rFonts w:ascii="Consolas" w:hAnsi="Consolas"/>
        </w:rPr>
        <w:t>lostNotes</w:t>
      </w:r>
      <w:r>
        <w:t xml:space="preserve"> — currently at student level. Spec allows closure at either level. Recommendation: duplicate onto Institution Interest and keep the student-level version for "student closed all journeys" scenarios.</w:t>
      </w:r>
    </w:p>
    <w:p>
      <w:pPr>
        <w:pStyle w:val="ListBullet"/>
      </w:pPr>
      <w:r>
        <w:rPr>
          <w:rFonts w:ascii="Consolas" w:hAnsi="Consolas"/>
        </w:rPr>
        <w:t>deferredIntakeYear</w:t>
      </w:r>
      <w:r>
        <w:t xml:space="preserve">, </w:t>
      </w:r>
      <w:r>
        <w:rPr>
          <w:rFonts w:ascii="Consolas" w:hAnsi="Consolas"/>
        </w:rPr>
        <w:t>deferredIntakeMonth</w:t>
      </w:r>
      <w:r>
        <w:t xml:space="preserve">, </w:t>
      </w:r>
      <w:r>
        <w:rPr>
          <w:rFonts w:ascii="Consolas" w:hAnsi="Consolas"/>
        </w:rPr>
        <w:t>deferredReason</w:t>
      </w:r>
      <w:r>
        <w:t xml:space="preserve">, </w:t>
      </w:r>
      <w:r>
        <w:rPr>
          <w:rFonts w:ascii="Consolas" w:hAnsi="Consolas"/>
        </w:rPr>
        <w:t>deferredFollowUpAt</w:t>
      </w:r>
      <w:r>
        <w:t xml:space="preserve">, </w:t>
      </w:r>
      <w:r>
        <w:rPr>
          <w:rFonts w:ascii="Consolas" w:hAnsi="Consolas"/>
        </w:rPr>
        <w:t>deferredReopenAt</w:t>
      </w:r>
      <w:r>
        <w:t xml:space="preserve"> — same problem; deferral is per-institution in the spec.</w:t>
      </w:r>
    </w:p>
    <w:p/>
    <w:p>
      <w:pPr>
        <w:pStyle w:val="Heading3"/>
      </w:pPr>
      <w:r>
        <w:t>High-risk paths (touch carefully)</w:t>
      </w:r>
    </w:p>
    <w:p/>
    <w:p>
      <w:r>
        <w:rPr>
          <w:b/>
        </w:rPr>
        <w:t>Offline lead capture</w:t>
      </w:r>
      <w:r>
        <w:t xml:space="preserve"> — most fragile because it ships to booth devices with no network:</w:t>
      </w:r>
    </w:p>
    <w:p>
      <w:pPr>
        <w:pStyle w:val="ListBullet"/>
      </w:pPr>
      <w:r>
        <w:rPr>
          <w:rFonts w:ascii="Consolas" w:hAnsi="Consolas"/>
        </w:rPr>
        <w:t>lib/offline-queue.ts</w:t>
      </w:r>
      <w:r>
        <w:t xml:space="preserve"> — IndexedDB v3, </w:t>
      </w:r>
      <w:r>
        <w:rPr>
          <w:rFonts w:ascii="Consolas" w:hAnsi="Consolas"/>
        </w:rPr>
        <w:t>QueuedCapture</w:t>
      </w:r>
      <w:r>
        <w:t xml:space="preserve"> shape stores raw form data</w:t>
      </w:r>
    </w:p>
    <w:p>
      <w:pPr>
        <w:pStyle w:val="ListBullet"/>
      </w:pPr>
      <w:r>
        <w:rPr>
          <w:rFonts w:ascii="Consolas" w:hAnsi="Consolas"/>
        </w:rPr>
        <w:t>app/api/leads/offline-sync/route.ts</w:t>
      </w:r>
      <w:r>
        <w:t xml:space="preserve"> — 28-field batch schema, per-row idempotency by </w:t>
      </w:r>
      <w:r>
        <w:rPr>
          <w:rFonts w:ascii="Consolas" w:hAnsi="Consolas"/>
        </w:rPr>
        <w:t>captureId</w:t>
      </w:r>
    </w:p>
    <w:p>
      <w:pPr>
        <w:pStyle w:val="ListBullet"/>
      </w:pPr>
      <w:r>
        <w:rPr>
          <w:rFonts w:ascii="Consolas" w:hAnsi="Consolas"/>
        </w:rPr>
        <w:t>app/(dashboard)/students/offline/*</w:t>
      </w:r>
      <w:r>
        <w:t xml:space="preserve"> — the booth UI</w:t>
      </w:r>
    </w:p>
    <w:p>
      <w:pPr>
        <w:pStyle w:val="ListBullet"/>
      </w:pPr>
      <w:r>
        <w:rPr>
          <w:b/>
        </w:rPr>
        <w:t>Implication:</w:t>
      </w:r>
      <w:r>
        <w:t xml:space="preserve"> the offline form today assumes one institution per lead. Splitting means either (a) capture one interest at booth and let ICRs add more later, or (b) expand the offline schema and IndexedDB v4 upgrade. </w:t>
      </w:r>
      <w:r>
        <w:rPr>
          <w:b/>
        </w:rPr>
        <w:t>Recommendation: keep booth form single-institution; multi-interest is an office-only action.</w:t>
      </w:r>
    </w:p>
    <w:p/>
    <w:p>
      <w:r>
        <w:rPr>
          <w:b/>
        </w:rPr>
        <w:t>Cron automation</w:t>
      </w:r>
      <w:r>
        <w:t xml:space="preserve"> — </w:t>
      </w:r>
      <w:r>
        <w:rPr>
          <w:rFonts w:ascii="Consolas" w:hAnsi="Consolas"/>
        </w:rPr>
        <w:t>scripts/lead-automation.ts</w:t>
      </w:r>
      <w:r>
        <w:t xml:space="preserve"> / </w:t>
      </w:r>
      <w:r>
        <w:rPr>
          <w:rFonts w:ascii="Consolas" w:hAnsi="Consolas"/>
        </w:rPr>
        <w:t>lib/lead-automation.ts</w:t>
      </w:r>
      <w:r>
        <w:t>:</w:t>
      </w:r>
    </w:p>
    <w:p>
      <w:pPr>
        <w:pStyle w:val="ListBullet"/>
      </w:pPr>
      <w:r>
        <w:t>Inactivity reminders (14d) and escalations (21d) query Lead + stage today</w:t>
      </w:r>
    </w:p>
    <w:p>
      <w:pPr>
        <w:pStyle w:val="ListBullet"/>
      </w:pPr>
      <w:r>
        <w:t>Offer expiry / deposit deadline warnings query LeadApplication filtered by Lead.stage</w:t>
      </w:r>
    </w:p>
    <w:p>
      <w:pPr>
        <w:pStyle w:val="ListBullet"/>
      </w:pPr>
      <w:r>
        <w:t xml:space="preserve">Deferred student reopening — restores </w:t>
      </w:r>
      <w:r>
        <w:rPr>
          <w:rFonts w:ascii="Consolas" w:hAnsi="Consolas"/>
        </w:rPr>
        <w:t>stageBeforeClose</w:t>
      </w:r>
    </w:p>
    <w:p>
      <w:pPr>
        <w:pStyle w:val="ListBullet"/>
      </w:pPr>
      <w:r>
        <w:rPr>
          <w:b/>
        </w:rPr>
        <w:t>Post-split:</w:t>
      </w:r>
      <w:r>
        <w:t xml:space="preserve"> all four must operate per Institution Interest, not per Lead. Cron is a small file but the logic branches proliferate quickly.</w:t>
      </w:r>
    </w:p>
    <w:p/>
    <w:p/>
    <w:p/>
    <w:p>
      <w:pPr>
        <w:pStyle w:val="Heading2"/>
      </w:pPr>
      <w:r>
        <w:t>2. Module Routes → Spec Mapping</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Current route</w:t>
            </w:r>
          </w:p>
        </w:tc>
        <w:tc>
          <w:tcPr>
            <w:tcW w:type="dxa" w:w="1728"/>
          </w:tcPr>
          <w:p>
            <w:r>
              <w:t>Primary models</w:t>
            </w:r>
          </w:p>
        </w:tc>
        <w:tc>
          <w:tcPr>
            <w:tcW w:type="dxa" w:w="1728"/>
          </w:tcPr>
          <w:p>
            <w:r>
              <w:t>Target module</w:t>
            </w:r>
          </w:p>
        </w:tc>
        <w:tc>
          <w:tcPr>
            <w:tcW w:type="dxa" w:w="1728"/>
          </w:tcPr>
          <w:p>
            <w:r>
              <w:t>Verdict</w:t>
            </w:r>
          </w:p>
        </w:tc>
        <w:tc>
          <w:tcPr>
            <w:tcW w:type="dxa" w:w="1728"/>
          </w:tcPr>
          <w:p>
            <w:r>
              <w:t>Notes</w:t>
            </w:r>
          </w:p>
        </w:tc>
      </w:tr>
      <w:tr>
        <w:tc>
          <w:tcPr>
            <w:tcW w:type="dxa" w:w="1728"/>
          </w:tcPr>
          <w:p>
            <w:r>
              <w:t>`/students`</w:t>
            </w:r>
          </w:p>
        </w:tc>
        <w:tc>
          <w:tcPr>
            <w:tcW w:type="dxa" w:w="1728"/>
          </w:tcPr>
          <w:p>
            <w:r>
              <w:t>Lead, Institution, Source</w:t>
            </w:r>
          </w:p>
        </w:tc>
        <w:tc>
          <w:tcPr>
            <w:tcW w:type="dxa" w:w="1728"/>
          </w:tcPr>
          <w:p>
            <w:r>
              <w:t>Students</w:t>
            </w:r>
          </w:p>
        </w:tc>
        <w:tc>
          <w:tcPr>
            <w:tcW w:type="dxa" w:w="1728"/>
          </w:tcPr>
          <w:p>
            <w:r>
              <w:t>Keep name, restructure internals</w:t>
            </w:r>
          </w:p>
        </w:tc>
        <w:tc>
          <w:tcPr>
            <w:tcW w:type="dxa" w:w="1728"/>
          </w:tcPr>
          <w:p>
            <w:r>
              <w:t>Add Institution Interest as first-class citizen</w:t>
            </w:r>
          </w:p>
        </w:tc>
      </w:tr>
      <w:tr>
        <w:tc>
          <w:tcPr>
            <w:tcW w:type="dxa" w:w="1728"/>
          </w:tcPr>
          <w:p>
            <w:r>
              <w:t>`/institutions`</w:t>
            </w:r>
          </w:p>
        </w:tc>
        <w:tc>
          <w:tcPr>
            <w:tcW w:type="dxa" w:w="1728"/>
          </w:tcPr>
          <w:p>
            <w:r>
              <w:t>Institution, Lead, Contract</w:t>
            </w:r>
          </w:p>
        </w:tc>
        <w:tc>
          <w:tcPr>
            <w:tcW w:type="dxa" w:w="1728"/>
          </w:tcPr>
          <w:p>
            <w:r>
              <w:t>Clients</w:t>
            </w:r>
          </w:p>
        </w:tc>
        <w:tc>
          <w:tcPr>
            <w:tcW w:type="dxa" w:w="1728"/>
          </w:tcPr>
          <w:p>
            <w:r>
              <w:t>Rename (see decision #8)</w:t>
            </w:r>
          </w:p>
        </w:tc>
        <w:tc>
          <w:tcPr>
            <w:tcW w:type="dxa" w:w="1728"/>
          </w:tcPr>
          <w:p>
            <w:r>
              <w:t>Spec calls this "Clients"</w:t>
            </w:r>
          </w:p>
        </w:tc>
      </w:tr>
      <w:tr>
        <w:tc>
          <w:tcPr>
            <w:tcW w:type="dxa" w:w="1728"/>
          </w:tcPr>
          <w:p>
            <w:r>
              <w:t>`/sources`</w:t>
            </w:r>
          </w:p>
        </w:tc>
        <w:tc>
          <w:tcPr>
            <w:tcW w:type="dxa" w:w="1728"/>
          </w:tcPr>
          <w:p>
            <w:r>
              <w:t>Source, Campaign, Lead</w:t>
            </w:r>
          </w:p>
        </w:tc>
        <w:tc>
          <w:tcPr>
            <w:tcW w:type="dxa" w:w="1728"/>
          </w:tcPr>
          <w:p>
            <w:r>
              <w:t>Recruitment Network</w:t>
            </w:r>
          </w:p>
        </w:tc>
        <w:tc>
          <w:tcPr>
            <w:tcW w:type="dxa" w:w="1728"/>
          </w:tcPr>
          <w:p>
            <w:r>
              <w:t>Merge</w:t>
            </w:r>
          </w:p>
        </w:tc>
        <w:tc>
          <w:tcPr>
            <w:tcW w:type="dxa" w:w="1728"/>
          </w:tcPr>
          <w:p>
            <w:r>
              <w:t>Becomes `/recruitment-network/partners`</w:t>
            </w:r>
          </w:p>
        </w:tc>
      </w:tr>
      <w:tr>
        <w:tc>
          <w:tcPr>
            <w:tcW w:type="dxa" w:w="1728"/>
          </w:tcPr>
          <w:p>
            <w:r>
              <w:t>`/stakeholders`</w:t>
            </w:r>
          </w:p>
        </w:tc>
        <w:tc>
          <w:tcPr>
            <w:tcW w:type="dxa" w:w="1728"/>
          </w:tcPr>
          <w:p>
            <w:r>
              <w:t>School, Counsellor, AgentProfile</w:t>
            </w:r>
          </w:p>
        </w:tc>
        <w:tc>
          <w:tcPr>
            <w:tcW w:type="dxa" w:w="1728"/>
          </w:tcPr>
          <w:p>
            <w:r>
              <w:t>Recruitment Network</w:t>
            </w:r>
          </w:p>
        </w:tc>
        <w:tc>
          <w:tcPr>
            <w:tcW w:type="dxa" w:w="1728"/>
          </w:tcPr>
          <w:p>
            <w:r>
              <w:t>Retire, absorb</w:t>
            </w:r>
          </w:p>
        </w:tc>
        <w:tc>
          <w:tcPr>
            <w:tcW w:type="dxa" w:w="1728"/>
          </w:tcPr>
          <w:p>
            <w:r>
              <w:t>Whole module goes; entities move under Recruitment Network</w:t>
            </w:r>
          </w:p>
        </w:tc>
      </w:tr>
      <w:tr>
        <w:tc>
          <w:tcPr>
            <w:tcW w:type="dxa" w:w="1728"/>
          </w:tcPr>
          <w:p>
            <w:r>
              <w:t>`/events`</w:t>
            </w:r>
          </w:p>
        </w:tc>
        <w:tc>
          <w:tcPr>
            <w:tcW w:type="dxa" w:w="1728"/>
          </w:tcPr>
          <w:p>
            <w:r>
              <w:t>Event, Lead, Institution, Activity</w:t>
            </w:r>
          </w:p>
        </w:tc>
        <w:tc>
          <w:tcPr>
            <w:tcW w:type="dxa" w:w="1728"/>
          </w:tcPr>
          <w:p>
            <w:r>
              <w:t>Recruitment Network</w:t>
            </w:r>
          </w:p>
        </w:tc>
        <w:tc>
          <w:tcPr>
            <w:tcW w:type="dxa" w:w="1728"/>
          </w:tcPr>
          <w:p>
            <w:r>
              <w:t>Merge</w:t>
            </w:r>
          </w:p>
        </w:tc>
        <w:tc>
          <w:tcPr>
            <w:tcW w:type="dxa" w:w="1728"/>
          </w:tcPr>
          <w:p>
            <w:r>
              <w:t>Becomes `/recruitment-network/events`</w:t>
            </w:r>
          </w:p>
        </w:tc>
      </w:tr>
      <w:tr>
        <w:tc>
          <w:tcPr>
            <w:tcW w:type="dxa" w:w="1728"/>
          </w:tcPr>
          <w:p>
            <w:r>
              <w:t>`/markets`</w:t>
            </w:r>
          </w:p>
        </w:tc>
        <w:tc>
          <w:tcPr>
            <w:tcW w:type="dxa" w:w="1728"/>
          </w:tcPr>
          <w:p>
            <w:r>
              <w:t>Market, School, Activity, RiskRegister</w:t>
            </w:r>
          </w:p>
        </w:tc>
        <w:tc>
          <w:tcPr>
            <w:tcW w:type="dxa" w:w="1728"/>
          </w:tcPr>
          <w:p>
            <w:r>
              <w:t>Market Intelligence</w:t>
            </w:r>
          </w:p>
        </w:tc>
        <w:tc>
          <w:tcPr>
            <w:tcW w:type="dxa" w:w="1728"/>
          </w:tcPr>
          <w:p>
            <w:r>
              <w:t>Rename</w:t>
            </w:r>
          </w:p>
        </w:tc>
        <w:tc>
          <w:tcPr>
            <w:tcW w:type="dxa" w:w="1728"/>
          </w:tcPr>
          <w:p>
            <w:r>
              <w:t>`/market-intelligence`</w:t>
            </w:r>
          </w:p>
        </w:tc>
      </w:tr>
      <w:tr>
        <w:tc>
          <w:tcPr>
            <w:tcW w:type="dxa" w:w="1728"/>
          </w:tcPr>
          <w:p>
            <w:r>
              <w:t>`/activities`</w:t>
            </w:r>
          </w:p>
        </w:tc>
        <w:tc>
          <w:tcPr>
            <w:tcW w:type="dxa" w:w="1728"/>
          </w:tcPr>
          <w:p>
            <w:r>
              <w:t>Activity, User, Institution, Market, School</w:t>
            </w:r>
          </w:p>
        </w:tc>
        <w:tc>
          <w:tcPr>
            <w:tcW w:type="dxa" w:w="1728"/>
          </w:tcPr>
          <w:p>
            <w:r>
              <w:t>Field Operations</w:t>
            </w:r>
          </w:p>
        </w:tc>
        <w:tc>
          <w:tcPr>
            <w:tcW w:type="dxa" w:w="1728"/>
          </w:tcPr>
          <w:p>
            <w:r>
              <w:t>Rename</w:t>
            </w:r>
          </w:p>
        </w:tc>
        <w:tc>
          <w:tcPr>
            <w:tcW w:type="dxa" w:w="1728"/>
          </w:tcPr>
          <w:p>
            <w:r>
              <w:t>`/field-operations`</w:t>
            </w:r>
          </w:p>
        </w:tc>
      </w:tr>
      <w:tr>
        <w:tc>
          <w:tcPr>
            <w:tcW w:type="dxa" w:w="1728"/>
          </w:tcPr>
          <w:p>
            <w:r>
              <w:t>`/travel`</w:t>
            </w:r>
          </w:p>
        </w:tc>
        <w:tc>
          <w:tcPr>
            <w:tcW w:type="dxa" w:w="1728"/>
          </w:tcPr>
          <w:p>
            <w:r>
              <w:t>TravelRequest, Employee, Activity</w:t>
            </w:r>
          </w:p>
        </w:tc>
        <w:tc>
          <w:tcPr>
            <w:tcW w:type="dxa" w:w="1728"/>
          </w:tcPr>
          <w:p>
            <w:r>
              <w:t>Recruitment Planning</w:t>
            </w:r>
          </w:p>
        </w:tc>
        <w:tc>
          <w:tcPr>
            <w:tcW w:type="dxa" w:w="1728"/>
          </w:tcPr>
          <w:p>
            <w:r>
              <w:t>Rename, expand</w:t>
            </w:r>
          </w:p>
        </w:tc>
        <w:tc>
          <w:tcPr>
            <w:tcW w:type="dxa" w:w="1728"/>
          </w:tcPr>
          <w:p>
            <w:r>
              <w:t>`/recruitment-planning`; absorbs quarterly planning</w:t>
            </w:r>
          </w:p>
        </w:tc>
      </w:tr>
      <w:tr>
        <w:tc>
          <w:tcPr>
            <w:tcW w:type="dxa" w:w="1728"/>
          </w:tcPr>
          <w:p>
            <w:r>
              <w:t>`/tasks`</w:t>
            </w:r>
          </w:p>
        </w:tc>
        <w:tc>
          <w:tcPr>
            <w:tcW w:type="dxa" w:w="1728"/>
          </w:tcPr>
          <w:p>
            <w:r>
              <w:t>Task, Employee, Activity</w:t>
            </w:r>
          </w:p>
        </w:tc>
        <w:tc>
          <w:tcPr>
            <w:tcW w:type="dxa" w:w="1728"/>
          </w:tcPr>
          <w:p>
            <w:r>
              <w:t>Tasks</w:t>
            </w:r>
          </w:p>
        </w:tc>
        <w:tc>
          <w:tcPr>
            <w:tcW w:type="dxa" w:w="1728"/>
          </w:tcPr>
          <w:p>
            <w:r>
              <w:t>Keep as-is</w:t>
            </w:r>
          </w:p>
        </w:tc>
        <w:tc>
          <w:tcPr>
            <w:tcW w:type="dxa" w:w="1728"/>
          </w:tcPr>
          <w:p>
            <w:r>
              <w:t>Becomes workflow engine (Phase 6)</w:t>
            </w:r>
          </w:p>
        </w:tc>
      </w:tr>
      <w:tr>
        <w:tc>
          <w:tcPr>
            <w:tcW w:type="dxa" w:w="1728"/>
          </w:tcPr>
          <w:p>
            <w:r>
              <w:t>`/reports`</w:t>
            </w:r>
          </w:p>
        </w:tc>
        <w:tc>
          <w:tcPr>
            <w:tcW w:type="dxa" w:w="1728"/>
          </w:tcPr>
          <w:p>
            <w:r>
              <w:t>MonthlyReport, WeeklyActivity</w:t>
            </w:r>
          </w:p>
        </w:tc>
        <w:tc>
          <w:tcPr>
            <w:tcW w:type="dxa" w:w="1728"/>
          </w:tcPr>
          <w:p>
            <w:r>
              <w:t>Reports</w:t>
            </w:r>
          </w:p>
        </w:tc>
        <w:tc>
          <w:tcPr>
            <w:tcW w:type="dxa" w:w="1728"/>
          </w:tcPr>
          <w:p>
            <w:r>
              <w:t>Keep name, simplify</w:t>
            </w:r>
          </w:p>
        </w:tc>
        <w:tc>
          <w:tcPr>
            <w:tcW w:type="dxa" w:w="1728"/>
          </w:tcPr>
          <w:p>
            <w:r>
              <w:t>Auto-populate from other modules (Phase 7)</w:t>
            </w:r>
          </w:p>
        </w:tc>
      </w:tr>
      <w:tr>
        <w:tc>
          <w:tcPr>
            <w:tcW w:type="dxa" w:w="1728"/>
          </w:tcPr>
          <w:p>
            <w:r>
              <w:t>`/hr`, `/whatsapp`, `/knowledge`, `/settings`, `/analytics`, `/account`, `/activity-log`, `/risk-compliance`, `/search`, `/dashboard`</w:t>
            </w:r>
          </w:p>
        </w:tc>
        <w:tc>
          <w:tcPr>
            <w:tcW w:type="dxa" w:w="1728"/>
          </w:tcPr>
          <w:p>
            <w:r>
              <w:t>various</w:t>
            </w:r>
          </w:p>
        </w:tc>
        <w:tc>
          <w:tcPr>
            <w:tcW w:type="dxa" w:w="1728"/>
          </w:tcPr>
          <w:p>
            <w:r>
              <w:t>(untouched)</w:t>
            </w:r>
          </w:p>
        </w:tc>
        <w:tc>
          <w:tcPr>
            <w:tcW w:type="dxa" w:w="1728"/>
          </w:tcPr>
          <w:p>
            <w:r>
              <w:t>Keep as-is</w:t>
            </w:r>
          </w:p>
        </w:tc>
        <w:tc>
          <w:tcPr>
            <w:tcW w:type="dxa" w:w="1728"/>
          </w:tcPr>
          <w:p>
            <w:r>
              <w:t>Out of redesign scope</w:t>
            </w:r>
          </w:p>
        </w:tc>
      </w:tr>
    </w:tbl>
    <w:p/>
    <w:p/>
    <w:p>
      <w:r>
        <w:rPr>
          <w:b/>
        </w:rPr>
        <w:t>Findings that don't fit cleanly:</w:t>
      </w:r>
    </w:p>
    <w:p>
      <w:pPr>
        <w:pStyle w:val="ListBullet"/>
      </w:pPr>
      <w:r>
        <w:rPr>
          <w:rFonts w:ascii="Consolas" w:hAnsi="Consolas"/>
        </w:rPr>
        <w:t>/reports/qbr</w:t>
      </w:r>
      <w:r>
        <w:t xml:space="preserve"> — currently under Reports, but "quarterly business review" logic is closer to Recruitment Planning per the spec. Recommendation: leave in Reports as an aggregation view; the *plan* lives in Recruitment Planning.</w:t>
      </w:r>
    </w:p>
    <w:p>
      <w:pPr>
        <w:pStyle w:val="ListBullet"/>
      </w:pPr>
      <w:r>
        <w:t>Weekly Activity Planner (added 2026-05-30) — currently a tab in Reports (</w:t>
      </w:r>
      <w:r>
        <w:rPr>
          <w:rFonts w:ascii="Consolas" w:hAnsi="Consolas"/>
        </w:rPr>
        <w:t>app/(dashboard)/reports/_components/weekly-activities-panel.tsx</w:t>
      </w:r>
      <w:r>
        <w:t xml:space="preserve">) with model </w:t>
      </w:r>
      <w:r>
        <w:rPr>
          <w:rFonts w:ascii="Consolas" w:hAnsi="Consolas"/>
        </w:rPr>
        <w:t>WeeklyActivity</w:t>
      </w:r>
      <w:r>
        <w:t>. Spec's Field Operations has 6 mandatory activity types that overlap conceptually. See decision #7.</w:t>
      </w:r>
    </w:p>
    <w:p/>
    <w:p/>
    <w:p/>
    <w:p>
      <w:pPr>
        <w:pStyle w:val="Heading2"/>
      </w:pPr>
      <w:r>
        <w:t>3. Orphaned Code Inventory</w:t>
      </w:r>
    </w:p>
    <w:p/>
    <w:p>
      <w:pPr>
        <w:pStyle w:val="Heading3"/>
      </w:pPr>
      <w:r>
        <w:t>Confirmed dead — safe to delete</w:t>
      </w:r>
    </w:p>
    <w:p/>
    <w:p>
      <w:r>
        <w:t xml:space="preserve">**Prisma models (zero </w:t>
      </w:r>
      <w:r>
        <w:rPr>
          <w:rFonts w:ascii="Consolas" w:hAnsi="Consolas"/>
        </w:rPr>
        <w:t>db.&lt;model&gt;.*</w:t>
      </w:r>
      <w:r>
        <w:t xml:space="preserve"> calls repo-wide):**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Relation still exists on parent?</w:t>
            </w:r>
          </w:p>
        </w:tc>
        <w:tc>
          <w:tcPr>
            <w:tcW w:type="dxa" w:w="2880"/>
          </w:tcPr>
          <w:p>
            <w:r>
              <w:t>Notes</w:t>
            </w:r>
          </w:p>
        </w:tc>
      </w:tr>
      <w:tr>
        <w:tc>
          <w:tcPr>
            <w:tcW w:type="dxa" w:w="2880"/>
          </w:tcPr>
          <w:p>
            <w:r>
              <w:t>`ForecastEntry`</w:t>
            </w:r>
          </w:p>
        </w:tc>
        <w:tc>
          <w:tcPr>
            <w:tcW w:type="dxa" w:w="2880"/>
          </w:tcPr>
          <w:p>
            <w:r>
              <w:t>`Lead.forecastEntries`, `MonthlyReport.forecastEntries`</w:t>
            </w:r>
          </w:p>
        </w:tc>
        <w:tc>
          <w:tcPr>
            <w:tcW w:type="dxa" w:w="2880"/>
          </w:tcPr>
          <w:p>
            <w:r>
              <w:t>May 2026 report simplification left this behind. Also delete: `forecast-section.tsx`, `/api/reports/[id]/forecast/route.ts`</w:t>
            </w:r>
          </w:p>
        </w:tc>
      </w:tr>
      <w:tr>
        <w:tc>
          <w:tcPr>
            <w:tcW w:type="dxa" w:w="2880"/>
          </w:tcPr>
          <w:p>
            <w:r>
              <w:t>`LeadDocument`</w:t>
            </w:r>
          </w:p>
        </w:tc>
        <w:tc>
          <w:tcPr>
            <w:tcW w:type="dxa" w:w="2880"/>
          </w:tcPr>
          <w:p>
            <w:r>
              <w:t>`LeadChecklistItem.document` FK</w:t>
            </w:r>
          </w:p>
        </w:tc>
        <w:tc>
          <w:tcPr>
            <w:tcW w:type="dxa" w:w="2880"/>
          </w:tcPr>
          <w:p>
            <w:r>
              <w:t>Never created or read</w:t>
            </w:r>
          </w:p>
        </w:tc>
      </w:tr>
      <w:tr>
        <w:tc>
          <w:tcPr>
            <w:tcW w:type="dxa" w:w="2880"/>
          </w:tcPr>
          <w:p>
            <w:r>
              <w:t>`OnboardingItem`</w:t>
            </w:r>
          </w:p>
        </w:tc>
        <w:tc>
          <w:tcPr>
            <w:tcW w:type="dxa" w:w="2880"/>
          </w:tcPr>
          <w:p>
            <w:r>
              <w:t>`Employee.onboarding`</w:t>
            </w:r>
          </w:p>
        </w:tc>
        <w:tc>
          <w:tcPr>
            <w:tcW w:type="dxa" w:w="2880"/>
          </w:tcPr>
          <w:p>
            <w:r>
              <w:t>Relation defined, no code path</w:t>
            </w:r>
          </w:p>
        </w:tc>
      </w:tr>
      <w:tr>
        <w:tc>
          <w:tcPr>
            <w:tcW w:type="dxa" w:w="2880"/>
          </w:tcPr>
          <w:p>
            <w:r>
              <w:t>`ActivityAttendee`</w:t>
            </w:r>
          </w:p>
        </w:tc>
        <w:tc>
          <w:tcPr>
            <w:tcW w:type="dxa" w:w="2880"/>
          </w:tcPr>
          <w:p>
            <w:r>
              <w:t>`Activity.attendees`</w:t>
            </w:r>
          </w:p>
        </w:tc>
        <w:tc>
          <w:tcPr>
            <w:tcW w:type="dxa" w:w="2880"/>
          </w:tcPr>
          <w:p>
            <w:r>
              <w:t>Never populated</w:t>
            </w:r>
          </w:p>
        </w:tc>
      </w:tr>
      <w:tr>
        <w:tc>
          <w:tcPr>
            <w:tcW w:type="dxa" w:w="2880"/>
          </w:tcPr>
          <w:p>
            <w:r>
              <w:t>`InstitutionUser`</w:t>
            </w:r>
          </w:p>
        </w:tc>
        <w:tc>
          <w:tcPr>
            <w:tcW w:type="dxa" w:w="2880"/>
          </w:tcPr>
          <w:p>
            <w:r>
              <w:t>`Institution.users` join table</w:t>
            </w:r>
          </w:p>
        </w:tc>
        <w:tc>
          <w:tcPr>
            <w:tcW w:type="dxa" w:w="2880"/>
          </w:tcPr>
          <w:p>
            <w:r>
              <w:t>No code creates these rows</w:t>
            </w:r>
          </w:p>
        </w:tc>
      </w:tr>
    </w:tbl>
    <w:p/>
    <w:p/>
    <w:p>
      <w:r>
        <w:rPr>
          <w:b/>
        </w:rPr>
        <w:t>React components (zero imports):</w:t>
      </w:r>
    </w:p>
    <w:p>
      <w:pPr>
        <w:pStyle w:val="ListBullet"/>
      </w:pPr>
      <w:r>
        <w:rPr>
          <w:rFonts w:ascii="Consolas" w:hAnsi="Consolas"/>
        </w:rPr>
        <w:t>app/(dashboard)/settings/_components/permissions-tab.tsx</w:t>
      </w:r>
    </w:p>
    <w:p>
      <w:pPr>
        <w:pStyle w:val="ListBullet"/>
      </w:pPr>
      <w:r>
        <w:rPr>
          <w:rFonts w:ascii="Consolas" w:hAnsi="Consolas"/>
        </w:rPr>
        <w:t>app/(dashboard)/reports/[id]/_components/approval-actions.tsx</w:t>
      </w:r>
      <w:r>
        <w:t xml:space="preserve"> — orphaned by 2026-05-30 report simplification (approval chain shortened to one step)</w:t>
      </w:r>
    </w:p>
    <w:p/>
    <w:p>
      <w:pPr>
        <w:pStyle w:val="Heading3"/>
      </w:pPr>
      <w:r>
        <w:t>Probably dead — verify one more time</w:t>
      </w:r>
    </w:p>
    <w:p/>
    <w:p>
      <w:pPr>
        <w:pStyle w:val="ListBullet"/>
      </w:pPr>
      <w:r>
        <w:rPr>
          <w:rFonts w:ascii="Consolas" w:hAnsi="Consolas"/>
        </w:rPr>
        <w:t>VerificationToken</w:t>
      </w:r>
      <w:r>
        <w:t xml:space="preserve"> Prisma model — NextAuth uses its own adapter internally; the manual model definition looks unused. Confirm before removing.</w:t>
      </w:r>
    </w:p>
    <w:p>
      <w:pPr>
        <w:pStyle w:val="ListBullet"/>
      </w:pPr>
      <w:r>
        <w:rPr>
          <w:rFonts w:ascii="Consolas" w:hAnsi="Consolas"/>
        </w:rPr>
        <w:t>Worklog</w:t>
      </w:r>
      <w:r>
        <w:t xml:space="preserve"> model — local interface in </w:t>
      </w:r>
      <w:r>
        <w:rPr>
          <w:rFonts w:ascii="Consolas" w:hAnsi="Consolas"/>
        </w:rPr>
        <w:t>employee-tabs-client.tsx</w:t>
      </w:r>
      <w:r>
        <w:t xml:space="preserve"> shadows it; DB model never queried.</w:t>
      </w:r>
    </w:p>
    <w:p>
      <w:pPr>
        <w:pStyle w:val="ListBullet"/>
      </w:pPr>
      <w:r>
        <w:rPr>
          <w:rFonts w:ascii="Consolas" w:hAnsi="Consolas"/>
        </w:rPr>
        <w:t>EmployeeDocument</w:t>
      </w:r>
      <w:r>
        <w:t xml:space="preserve"> model — same pattern; local interface shadows the Prisma model.</w:t>
      </w:r>
    </w:p>
    <w:p>
      <w:pPr>
        <w:pStyle w:val="ListBullet"/>
      </w:pPr>
      <w:r>
        <w:rPr>
          <w:rFonts w:ascii="Consolas" w:hAnsi="Consolas"/>
        </w:rPr>
        <w:t>TravelItinerary</w:t>
      </w:r>
      <w:r>
        <w:t xml:space="preserve">, </w:t>
      </w:r>
      <w:r>
        <w:rPr>
          <w:rFonts w:ascii="Consolas" w:hAnsi="Consolas"/>
        </w:rPr>
        <w:t>TravelMeeting</w:t>
      </w:r>
      <w:r>
        <w:t xml:space="preserve"> — no </w:t>
      </w:r>
      <w:r>
        <w:rPr>
          <w:rFonts w:ascii="Consolas" w:hAnsi="Consolas"/>
        </w:rPr>
        <w:t>db.*</w:t>
      </w:r>
      <w:r>
        <w:t xml:space="preserve"> calls; these may be relations-only tables read via includes. Grep for </w:t>
      </w:r>
      <w:r>
        <w:rPr>
          <w:rFonts w:ascii="Consolas" w:hAnsi="Consolas"/>
        </w:rPr>
        <w:t>.itinerary</w:t>
      </w:r>
      <w:r>
        <w:t xml:space="preserve"> and </w:t>
      </w:r>
      <w:r>
        <w:rPr>
          <w:rFonts w:ascii="Consolas" w:hAnsi="Consolas"/>
        </w:rPr>
        <w:t>.meetings</w:t>
      </w:r>
      <w:r>
        <w:t xml:space="preserve"> includes to confirm.</w:t>
      </w:r>
    </w:p>
    <w:p/>
    <w:p>
      <w:pPr>
        <w:pStyle w:val="Heading3"/>
      </w:pPr>
      <w:r>
        <w:t>Not orphaned (suspects that turn out to be used)</w:t>
      </w:r>
    </w:p>
    <w:p/>
    <w:p>
      <w:pPr>
        <w:pStyle w:val="ListBullet"/>
      </w:pPr>
      <w:r>
        <w:t xml:space="preserve">All 30+ inspected API routes are called from UI </w:t>
      </w:r>
      <w:r>
        <w:rPr>
          <w:rFonts w:ascii="Consolas" w:hAnsi="Consolas"/>
        </w:rPr>
        <w:t>fetch()</w:t>
      </w:r>
      <w:r>
        <w:t xml:space="preserve"> or from internal helpers.</w:t>
      </w:r>
    </w:p>
    <w:p/>
    <w:p/>
    <w:p/>
    <w:p>
      <w:pPr>
        <w:pStyle w:val="Heading2"/>
      </w:pPr>
      <w:r>
        <w:t>4. "Enter Once, Display Everywhere" Violations</w:t>
      </w:r>
    </w:p>
    <w:p/>
    <w:p>
      <w:r>
        <w:t>Where the same real-world work today produces multiple CRM records.</w:t>
      </w:r>
    </w:p>
    <w:p/>
    <w:p>
      <w:pPr>
        <w:pStyle w:val="Heading3"/>
      </w:pPr>
      <w:r>
        <w:t>Duplicate (fix required)</w:t>
      </w:r>
    </w:p>
    <w:p/>
    <w:p>
      <w:r>
        <w:rPr>
          <w:b/>
        </w:rPr>
        <w:t>Counsellor ↔ InstitutionContact.</w:t>
      </w:r>
      <w:r>
        <w:t xml:space="preserve"> Two contact hierarchies. </w:t>
      </w:r>
      <w:r>
        <w:rPr>
          <w:rFonts w:ascii="Consolas" w:hAnsi="Consolas"/>
        </w:rPr>
        <w:t>Counsellor</w:t>
      </w:r>
      <w:r>
        <w:t xml:space="preserve"> is top-level with FK to School only. </w:t>
      </w:r>
      <w:r>
        <w:rPr>
          <w:rFonts w:ascii="Consolas" w:hAnsi="Consolas"/>
        </w:rPr>
        <w:t>InstitutionContact</w:t>
      </w:r>
      <w:r>
        <w:t xml:space="preserve"> is top-level with FK to Institution only. Spec unifies: contacts belong under their parent (school, agent, institution). Recommendation: retire </w:t>
      </w:r>
      <w:r>
        <w:rPr>
          <w:rFonts w:ascii="Consolas" w:hAnsi="Consolas"/>
        </w:rPr>
        <w:t>Counsellor</w:t>
      </w:r>
      <w:r>
        <w:t xml:space="preserve">, migrate rows to a new </w:t>
      </w:r>
      <w:r>
        <w:rPr>
          <w:rFonts w:ascii="Consolas" w:hAnsi="Consolas"/>
        </w:rPr>
        <w:t>PartnerContact</w:t>
      </w:r>
      <w:r>
        <w:t xml:space="preserve"> table sharing the parent FK shape with </w:t>
      </w:r>
      <w:r>
        <w:rPr>
          <w:rFonts w:ascii="Consolas" w:hAnsi="Consolas"/>
        </w:rPr>
        <w:t>InstitutionContact</w:t>
      </w:r>
      <w:r>
        <w:t>.</w:t>
      </w:r>
    </w:p>
    <w:p/>
    <w:p>
      <w:r>
        <w:rPr>
          <w:b/>
        </w:rPr>
        <w:t>Event ↔ Activity.</w:t>
      </w:r>
      <w:r>
        <w:t xml:space="preserve"> Both track date, location, type, and can link to institutions. A school visit or education fair can legitimately be logged as either. Recommendation per spec: Recruitment Events for lead-generating engagements; Field Operations for supporting/relationship work. Enforce the split in the UI create flow — every activity form asks "is this event participation?" first.</w:t>
      </w:r>
    </w:p>
    <w:p/>
    <w:p>
      <w:pPr>
        <w:pStyle w:val="Heading3"/>
      </w:pPr>
      <w:r>
        <w:t>Conflict (choose one path)</w:t>
      </w:r>
    </w:p>
    <w:p/>
    <w:p>
      <w:r>
        <w:rPr>
          <w:b/>
        </w:rPr>
        <w:t>Activity.schoolId ↔ Activity.sourceId (where source.type = SCHOOL).</w:t>
      </w:r>
      <w:r>
        <w:t xml:space="preserve"> Same real-world entity reachable via two FKs. Recommendation: drop </w:t>
      </w:r>
      <w:r>
        <w:rPr>
          <w:rFonts w:ascii="Consolas" w:hAnsi="Consolas"/>
        </w:rPr>
        <w:t>Activity.schoolId</w:t>
      </w:r>
      <w:r>
        <w:t xml:space="preserve"> after Phase 2 when School becomes a subtype of Recruitment Partner.</w:t>
      </w:r>
    </w:p>
    <w:p/>
    <w:p>
      <w:r>
        <w:rPr>
          <w:b/>
        </w:rPr>
        <w:t>Source.type = CAMPAIGN ↔ standalone `Campaign` model.</w:t>
      </w:r>
      <w:r>
        <w:t xml:space="preserve"> Two paths to represent "this was a marketing campaign." Recommendation: retire </w:t>
      </w:r>
      <w:r>
        <w:rPr>
          <w:rFonts w:ascii="Consolas" w:hAnsi="Consolas"/>
        </w:rPr>
        <w:t>Source.type = CAMPAIGN</w:t>
      </w:r>
      <w:r>
        <w:t xml:space="preserve">; keep </w:t>
      </w:r>
      <w:r>
        <w:rPr>
          <w:rFonts w:ascii="Consolas" w:hAnsi="Consolas"/>
        </w:rPr>
        <w:t>Campaign</w:t>
      </w:r>
      <w:r>
        <w:t xml:space="preserve"> as the canonical model.</w:t>
      </w:r>
    </w:p>
    <w:p/>
    <w:p>
      <w:r>
        <w:rPr>
          <w:b/>
        </w:rPr>
        <w:t>Lead.sourceId + Lead.eventId simultaneously.</w:t>
      </w:r>
      <w:r>
        <w:t xml:space="preserve"> Today a lead can have both. Spec says one primary attribution. Recommendation: keep both fields but enforce a single "primary attribution type" enum on Lead; the other becomes a secondary touchpoint (spec §16 explicitly names this).</w:t>
      </w:r>
    </w:p>
    <w:p/>
    <w:p>
      <w:pPr>
        <w:pStyle w:val="Heading3"/>
      </w:pPr>
      <w:r>
        <w:t>Linked correctly (leave alone)</w:t>
      </w:r>
    </w:p>
    <w:p/>
    <w:p>
      <w:r>
        <w:rPr>
          <w:b/>
        </w:rPr>
        <w:t>AgentProfile 1:1 extension of Source (unique FK).</w:t>
      </w:r>
      <w:r>
        <w:t xml:space="preserve"> Structure is right — AgentProfile only exists for Source.type=AGENT. After Phase 2 rename it becomes RecruitmentPartner.agentProfile.</w:t>
      </w:r>
    </w:p>
    <w:p/>
    <w:p>
      <w:pPr>
        <w:pStyle w:val="Heading3"/>
      </w:pPr>
      <w:r>
        <w:t>Distinct but under-linked (elevate)</w:t>
      </w:r>
    </w:p>
    <w:p/>
    <w:p>
      <w:r>
        <w:rPr>
          <w:b/>
        </w:rPr>
        <w:t>School ↔ Source.type = SCHOOL.</w:t>
      </w:r>
      <w:r>
        <w:t xml:space="preserve"> School has 13 rich fields (principal, relationshipStatus, studentVolume, marketId, counsellors). Source.type=SCHOOL exists as an attribution-only stub. Recommendation: consolidate — School becomes the canonical record, Source.type=SCHOOL is retired, referencing switches to a </w:t>
      </w:r>
      <w:r>
        <w:rPr>
          <w:rFonts w:ascii="Consolas" w:hAnsi="Consolas"/>
        </w:rPr>
        <w:t>partnerType</w:t>
      </w:r>
      <w:r>
        <w:t xml:space="preserve"> field on the unified </w:t>
      </w:r>
      <w:r>
        <w:rPr>
          <w:rFonts w:ascii="Consolas" w:hAnsi="Consolas"/>
        </w:rPr>
        <w:t>RecruitmentPartner</w:t>
      </w:r>
      <w:r>
        <w:t>.</w:t>
      </w:r>
    </w:p>
    <w:p/>
    <w:p/>
    <w:p/>
    <w:p>
      <w:pPr>
        <w:pStyle w:val="Heading2"/>
      </w:pPr>
      <w:r>
        <w:t>5. Summary — Scope Confirmation</w:t>
      </w:r>
    </w:p>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Change count</w:t>
            </w:r>
          </w:p>
        </w:tc>
      </w:tr>
      <w:tr>
        <w:tc>
          <w:tcPr>
            <w:tcW w:type="dxa" w:w="4320"/>
          </w:tcPr>
          <w:p>
            <w:r>
              <w:t>Prisma models to add</w:t>
            </w:r>
          </w:p>
        </w:tc>
        <w:tc>
          <w:tcPr>
            <w:tcW w:type="dxa" w:w="4320"/>
          </w:tcPr>
          <w:p>
            <w:r>
              <w:t>~5 (InstitutionInterest, PartnerContact, QuarterlyRecruitmentPlan, VariationRequest, MarketUpdateSuggestion, TaskTemplate)</w:t>
            </w:r>
          </w:p>
        </w:tc>
      </w:tr>
      <w:tr>
        <w:tc>
          <w:tcPr>
            <w:tcW w:type="dxa" w:w="4320"/>
          </w:tcPr>
          <w:p>
            <w:r>
              <w:t>Prisma models to rename via `@map`</w:t>
            </w:r>
          </w:p>
        </w:tc>
        <w:tc>
          <w:tcPr>
            <w:tcW w:type="dxa" w:w="4320"/>
          </w:tcPr>
          <w:p>
            <w:r>
              <w:t>~3 (Source → RecruitmentPartner, Activity → FieldOperation, TravelRequest → TravelRecord)</w:t>
            </w:r>
          </w:p>
        </w:tc>
      </w:tr>
      <w:tr>
        <w:tc>
          <w:tcPr>
            <w:tcW w:type="dxa" w:w="4320"/>
          </w:tcPr>
          <w:p>
            <w:r>
              <w:t>Prisma models to retire</w:t>
            </w:r>
          </w:p>
        </w:tc>
        <w:tc>
          <w:tcPr>
            <w:tcW w:type="dxa" w:w="4320"/>
          </w:tcPr>
          <w:p>
            <w:r>
              <w:t>~2 (Counsellor after migration; ForecastEntry immediately)</w:t>
            </w:r>
          </w:p>
        </w:tc>
      </w:tr>
      <w:tr>
        <w:tc>
          <w:tcPr>
            <w:tcW w:type="dxa" w:w="4320"/>
          </w:tcPr>
          <w:p>
            <w:r>
              <w:t>Prisma models to drop as orphans</w:t>
            </w:r>
          </w:p>
        </w:tc>
        <w:tc>
          <w:tcPr>
            <w:tcW w:type="dxa" w:w="4320"/>
          </w:tcPr>
          <w:p>
            <w:r>
              <w:t>~5 confirmed dead</w:t>
            </w:r>
          </w:p>
        </w:tc>
      </w:tr>
      <w:tr>
        <w:tc>
          <w:tcPr>
            <w:tcW w:type="dxa" w:w="4320"/>
          </w:tcPr>
          <w:p>
            <w:r>
              <w:t>Route folders to rename</w:t>
            </w:r>
          </w:p>
        </w:tc>
        <w:tc>
          <w:tcPr>
            <w:tcW w:type="dxa" w:w="4320"/>
          </w:tcPr>
          <w:p>
            <w:r>
              <w:t>4 (institutions, markets, activities, travel)</w:t>
            </w:r>
          </w:p>
        </w:tc>
      </w:tr>
      <w:tr>
        <w:tc>
          <w:tcPr>
            <w:tcW w:type="dxa" w:w="4320"/>
          </w:tcPr>
          <w:p>
            <w:r>
              <w:t>Route folders to retire</w:t>
            </w:r>
          </w:p>
        </w:tc>
        <w:tc>
          <w:tcPr>
            <w:tcW w:type="dxa" w:w="4320"/>
          </w:tcPr>
          <w:p>
            <w:r>
              <w:t>2 (stakeholders, sources — absorbed into recruitment-network)</w:t>
            </w:r>
          </w:p>
        </w:tc>
      </w:tr>
      <w:tr>
        <w:tc>
          <w:tcPr>
            <w:tcW w:type="dxa" w:w="4320"/>
          </w:tcPr>
          <w:p>
            <w:r>
              <w:t>Route folders untouched</w:t>
            </w:r>
          </w:p>
        </w:tc>
        <w:tc>
          <w:tcPr>
            <w:tcW w:type="dxa" w:w="4320"/>
          </w:tcPr>
          <w:p>
            <w:r>
              <w:t>10</w:t>
            </w:r>
          </w:p>
        </w:tc>
      </w:tr>
      <w:tr>
        <w:tc>
          <w:tcPr>
            <w:tcW w:type="dxa" w:w="4320"/>
          </w:tcPr>
          <w:p>
            <w:r>
              <w:t>Manual SQL migrations to write</w:t>
            </w:r>
          </w:p>
        </w:tc>
        <w:tc>
          <w:tcPr>
            <w:tcW w:type="dxa" w:w="4320"/>
          </w:tcPr>
          <w:p>
            <w:r>
              <w:t>~8 (one per phase, mostly)</w:t>
            </w:r>
          </w:p>
        </w:tc>
      </w:tr>
      <w:tr>
        <w:tc>
          <w:tcPr>
            <w:tcW w:type="dxa" w:w="4320"/>
          </w:tcPr>
          <w:p>
            <w:r>
              <w:t>Feature flags to introduce</w:t>
            </w:r>
          </w:p>
        </w:tc>
        <w:tc>
          <w:tcPr>
            <w:tcW w:type="dxa" w:w="4320"/>
          </w:tcPr>
          <w:p>
            <w:r>
              <w:t>1 primary (`FEATURE_MULTI_INSTITUTION_INTEREST`) + smaller per-module ones</w:t>
            </w:r>
          </w:p>
        </w:tc>
      </w:tr>
    </w:tbl>
    <w:p/>
    <w:p/>
    <w:p>
      <w:r>
        <w:t>This is a large scope but not unbounded. Every change is enumerable in advance.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