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790C" w:rsidRDefault="00C2790C">
      <w:pPr>
        <w:pStyle w:val="resnum"/>
      </w:pPr>
      <w:r>
        <w:t xml:space="preserve">Resolution no. </w:t>
      </w:r>
      <w:r w:rsidR="000A7507">
        <w:t>____</w:t>
      </w:r>
    </w:p>
    <w:p w:rsidR="00C2790C" w:rsidRPr="004B0753" w:rsidRDefault="00C2790C" w:rsidP="004D30CC">
      <w:pPr>
        <w:pStyle w:val="restitle"/>
        <w:ind w:left="0" w:right="0"/>
      </w:pPr>
      <w:r>
        <w:t xml:space="preserve">A RESOLUTION OF </w:t>
      </w:r>
      <w:r w:rsidR="00E87B88">
        <w:t xml:space="preserve">the </w:t>
      </w:r>
      <w:r w:rsidR="000A7507">
        <w:t>Port of Alsea</w:t>
      </w:r>
      <w:r w:rsidRPr="004B0753">
        <w:t xml:space="preserve">, </w:t>
      </w:r>
      <w:r w:rsidR="000A7507">
        <w:t>Lincoln County</w:t>
      </w:r>
      <w:r w:rsidR="006A049A">
        <w:t>, Oregon</w:t>
      </w:r>
      <w:r w:rsidR="00753E78">
        <w:t xml:space="preserve"> </w:t>
      </w:r>
      <w:r w:rsidRPr="004B0753">
        <w:t>AUTHORIZING THE ISSUANCE</w:t>
      </w:r>
      <w:r w:rsidR="005A44CF">
        <w:t>,</w:t>
      </w:r>
      <w:r w:rsidRPr="004B0753">
        <w:t xml:space="preserve"> SALE AND DELIVERY OF GENERAL OBLIGATION BONDS; DESIGNATING AN AUTHORIZED REPRESENTATIVE; DELEGATING THE </w:t>
      </w:r>
      <w:r w:rsidR="00A87068">
        <w:t xml:space="preserve">NEGOTIATION AND </w:t>
      </w:r>
      <w:r w:rsidRPr="004B0753">
        <w:t xml:space="preserve">APPROVAL </w:t>
      </w:r>
      <w:r w:rsidR="00A87068">
        <w:t xml:space="preserve">OF FINANCIAL DOCUMENTS </w:t>
      </w:r>
      <w:r w:rsidRPr="004B0753">
        <w:t>AND RELATED MATTERS.</w:t>
      </w:r>
    </w:p>
    <w:p w:rsidR="00C2790C" w:rsidRPr="004B0753" w:rsidRDefault="00C2790C">
      <w:pPr>
        <w:pStyle w:val="para"/>
      </w:pPr>
      <w:r w:rsidRPr="004B0753">
        <w:t xml:space="preserve">THE </w:t>
      </w:r>
      <w:r w:rsidR="000027FD">
        <w:t>BOARD OF COMMISSIONERS</w:t>
      </w:r>
      <w:r w:rsidRPr="004B0753">
        <w:t xml:space="preserve"> OF </w:t>
      </w:r>
      <w:r w:rsidR="00EE1B4B">
        <w:t xml:space="preserve">THE </w:t>
      </w:r>
      <w:r w:rsidR="000A7507">
        <w:t>PORT OF ALSEA</w:t>
      </w:r>
      <w:r w:rsidRPr="004B0753">
        <w:t xml:space="preserve">, </w:t>
      </w:r>
      <w:r w:rsidR="000A7507">
        <w:t>LINCOLN COUNTY</w:t>
      </w:r>
      <w:r w:rsidR="006A049A">
        <w:t>, OREGON</w:t>
      </w:r>
      <w:r w:rsidR="00753E78">
        <w:t xml:space="preserve"> </w:t>
      </w:r>
      <w:r w:rsidRPr="004B0753">
        <w:t>HEREBY RESOLVES:</w:t>
      </w:r>
    </w:p>
    <w:p w:rsidR="00C2790C" w:rsidRPr="004B0753" w:rsidRDefault="00C2790C">
      <w:pPr>
        <w:pStyle w:val="pge1"/>
      </w:pPr>
      <w:r w:rsidRPr="004B0753">
        <w:t>FINDINGS</w:t>
      </w:r>
    </w:p>
    <w:p w:rsidR="00C2790C" w:rsidRPr="004B0753" w:rsidRDefault="00C2790C">
      <w:pPr>
        <w:pStyle w:val="para"/>
      </w:pPr>
      <w:r w:rsidRPr="004B0753">
        <w:t xml:space="preserve">The </w:t>
      </w:r>
      <w:r w:rsidR="000027FD">
        <w:t>Board of Commissioners</w:t>
      </w:r>
      <w:r w:rsidRPr="004B0753">
        <w:t xml:space="preserve"> (the “Board”) of </w:t>
      </w:r>
      <w:r w:rsidR="00EE1B4B">
        <w:t xml:space="preserve">the </w:t>
      </w:r>
      <w:r w:rsidR="000A7507">
        <w:t>Port of Alsea</w:t>
      </w:r>
      <w:r w:rsidRPr="004B0753">
        <w:t xml:space="preserve">, </w:t>
      </w:r>
      <w:r w:rsidR="000A7507">
        <w:t>Lincoln County</w:t>
      </w:r>
      <w:r w:rsidR="006A049A">
        <w:t xml:space="preserve">, </w:t>
      </w:r>
      <w:r w:rsidRPr="004B0753">
        <w:t xml:space="preserve">Oregon a </w:t>
      </w:r>
      <w:r w:rsidR="00EE1B4B">
        <w:t xml:space="preserve">port in </w:t>
      </w:r>
      <w:r w:rsidRPr="00E146ED">
        <w:t>the State of Oregon (the “</w:t>
      </w:r>
      <w:r w:rsidR="000A7507">
        <w:t>Port</w:t>
      </w:r>
      <w:r w:rsidRPr="00E146ED">
        <w:t>”) finds:</w:t>
      </w:r>
    </w:p>
    <w:p w:rsidR="00C46A91" w:rsidRPr="00394498" w:rsidRDefault="00C2790C" w:rsidP="00C46A91">
      <w:pPr>
        <w:pStyle w:val="pge2"/>
        <w:tabs>
          <w:tab w:val="clear" w:pos="0"/>
        </w:tabs>
        <w:ind w:firstLine="720"/>
      </w:pPr>
      <w:r w:rsidRPr="004B0753">
        <w:t xml:space="preserve">The </w:t>
      </w:r>
      <w:r w:rsidR="000A7507">
        <w:t>Port</w:t>
      </w:r>
      <w:r w:rsidRPr="004B0753">
        <w:t xml:space="preserve"> is a</w:t>
      </w:r>
      <w:r>
        <w:t>uthorized pursuant to the Oregon Constitution and Oregon Revised Statutes Chapter</w:t>
      </w:r>
      <w:r w:rsidR="00522DDD" w:rsidRPr="00394498">
        <w:t>s</w:t>
      </w:r>
      <w:r w:rsidRPr="00394498">
        <w:t xml:space="preserve"> 287A and </w:t>
      </w:r>
      <w:r w:rsidR="000A7507" w:rsidRPr="00394498">
        <w:t>777.410</w:t>
      </w:r>
      <w:r w:rsidRPr="00394498">
        <w:t xml:space="preserve"> to issue general obligation bonds to finance capital</w:t>
      </w:r>
      <w:r w:rsidR="00C40BF7" w:rsidRPr="00394498">
        <w:t xml:space="preserve"> costs</w:t>
      </w:r>
      <w:r w:rsidRPr="00394498">
        <w:t>;</w:t>
      </w:r>
      <w:r w:rsidR="005B532F" w:rsidRPr="00394498">
        <w:t xml:space="preserve"> and</w:t>
      </w:r>
    </w:p>
    <w:p w:rsidR="00C2790C" w:rsidRDefault="00A208A7" w:rsidP="00CA10AA">
      <w:pPr>
        <w:pStyle w:val="pge2"/>
        <w:tabs>
          <w:tab w:val="clear" w:pos="0"/>
        </w:tabs>
        <w:ind w:firstLine="720"/>
      </w:pPr>
      <w:r w:rsidRPr="00FC69C4">
        <w:t xml:space="preserve">On </w:t>
      </w:r>
      <w:r w:rsidR="000A7507">
        <w:t>December 7, 2017</w:t>
      </w:r>
      <w:r w:rsidR="00611060" w:rsidRPr="00FC69C4">
        <w:t xml:space="preserve">, the </w:t>
      </w:r>
      <w:r w:rsidR="000A7507">
        <w:t>Port</w:t>
      </w:r>
      <w:r w:rsidR="00611060" w:rsidRPr="00FC69C4">
        <w:t xml:space="preserve"> adopted a resolution authorizing submission to the</w:t>
      </w:r>
      <w:r w:rsidR="00611060" w:rsidRPr="00611060">
        <w:t xml:space="preserve"> voters of the </w:t>
      </w:r>
      <w:r w:rsidR="000A7507">
        <w:t>Port</w:t>
      </w:r>
      <w:r w:rsidR="00611060" w:rsidRPr="00611060">
        <w:t xml:space="preserve"> at a measure election on </w:t>
      </w:r>
      <w:r w:rsidR="009056EC">
        <w:t>May 15, 2018</w:t>
      </w:r>
      <w:r w:rsidR="00611060" w:rsidRPr="00611060">
        <w:t>, the question of contracting a general obligation bonded indebtedness in an amount not to exceed $</w:t>
      </w:r>
      <w:r w:rsidR="000A7507">
        <w:t>2,660</w:t>
      </w:r>
      <w:r w:rsidR="001C0E18">
        <w:t>,000</w:t>
      </w:r>
      <w:r w:rsidR="00611060" w:rsidRPr="00611060">
        <w:t xml:space="preserve"> to finance capital costs as set forth in the notice of bond election and pay bond issuance costs</w:t>
      </w:r>
      <w:r w:rsidR="00C2790C">
        <w:t>;</w:t>
      </w:r>
      <w:r w:rsidR="005B532F">
        <w:t xml:space="preserve"> and</w:t>
      </w:r>
    </w:p>
    <w:p w:rsidR="00390A1A" w:rsidRDefault="00611060" w:rsidP="00390A1A">
      <w:pPr>
        <w:pStyle w:val="pge2"/>
        <w:tabs>
          <w:tab w:val="clear" w:pos="0"/>
        </w:tabs>
        <w:ind w:firstLine="720"/>
      </w:pPr>
      <w:r w:rsidRPr="00611060">
        <w:t>The election was</w:t>
      </w:r>
      <w:r w:rsidR="00A208A7">
        <w:t xml:space="preserve"> duly and legally held on </w:t>
      </w:r>
      <w:r w:rsidR="001E370B">
        <w:t>May 15, 2018</w:t>
      </w:r>
      <w:r w:rsidRPr="00611060">
        <w:t xml:space="preserve"> and the elections officer of the county in which the </w:t>
      </w:r>
      <w:r w:rsidR="000A7507">
        <w:t>Port</w:t>
      </w:r>
      <w:r w:rsidRPr="00611060">
        <w:t xml:space="preserve"> office is</w:t>
      </w:r>
      <w:r w:rsidR="00C97A9A">
        <w:t xml:space="preserve"> located</w:t>
      </w:r>
      <w:r w:rsidRPr="00611060">
        <w:t xml:space="preserve"> </w:t>
      </w:r>
      <w:r w:rsidR="00C97A9A">
        <w:t xml:space="preserve">delivered the abstract of votes indicating that the issuance of the general obligation bonds was approved no later than twenty (20) days after the date </w:t>
      </w:r>
      <w:r w:rsidR="00061749">
        <w:t>o</w:t>
      </w:r>
      <w:r w:rsidR="00C97A9A">
        <w:t>f the election</w:t>
      </w:r>
      <w:r w:rsidR="00C2790C">
        <w:t>;</w:t>
      </w:r>
      <w:r w:rsidR="00B449E2">
        <w:t xml:space="preserve"> and</w:t>
      </w:r>
    </w:p>
    <w:p w:rsidR="007A2576" w:rsidRDefault="00390A1A" w:rsidP="00390A1A">
      <w:pPr>
        <w:pStyle w:val="pge2"/>
        <w:tabs>
          <w:tab w:val="clear" w:pos="0"/>
        </w:tabs>
        <w:ind w:firstLine="720"/>
      </w:pPr>
      <w:r w:rsidRPr="00390A1A">
        <w:t xml:space="preserve">The Board </w:t>
      </w:r>
      <w:r w:rsidR="007A2FD1">
        <w:t>h</w:t>
      </w:r>
      <w:r w:rsidR="00EE1B4B">
        <w:t>as determined</w:t>
      </w:r>
      <w:r w:rsidRPr="00390A1A">
        <w:t xml:space="preserve"> the results of the election pursuant to ORS 255.295(1) in compliance with the requirement of determining results no later than forty (40) days after the date of the election</w:t>
      </w:r>
      <w:r>
        <w:t>;</w:t>
      </w:r>
      <w:r w:rsidR="005B532F">
        <w:t xml:space="preserve"> and</w:t>
      </w:r>
    </w:p>
    <w:p w:rsidR="00A366D2" w:rsidRPr="00390A1A" w:rsidRDefault="007A2576" w:rsidP="007A2576">
      <w:pPr>
        <w:pStyle w:val="pge2"/>
        <w:tabs>
          <w:tab w:val="clear" w:pos="0"/>
        </w:tabs>
        <w:ind w:firstLine="720"/>
      </w:pPr>
      <w:r w:rsidRPr="00390A1A">
        <w:t xml:space="preserve">The </w:t>
      </w:r>
      <w:r w:rsidR="000A7507">
        <w:t>Port</w:t>
      </w:r>
      <w:r w:rsidRPr="00390A1A">
        <w:t xml:space="preserve"> adopts this resolution t</w:t>
      </w:r>
      <w:r w:rsidR="003453BE">
        <w:t xml:space="preserve">o provide the terms under which </w:t>
      </w:r>
      <w:r w:rsidRPr="00390A1A">
        <w:t>the general obligation bonds will be sold and issued</w:t>
      </w:r>
      <w:r w:rsidR="00EA0245" w:rsidRPr="00390A1A">
        <w:t>.</w:t>
      </w:r>
      <w:r w:rsidR="00A366D2" w:rsidRPr="00390A1A">
        <w:t xml:space="preserve"> </w:t>
      </w:r>
    </w:p>
    <w:p w:rsidR="00C2790C" w:rsidRDefault="00C2790C">
      <w:pPr>
        <w:pStyle w:val="pge1"/>
      </w:pPr>
      <w:r>
        <w:t>BONDS AUTHORIZED</w:t>
      </w:r>
    </w:p>
    <w:p w:rsidR="00C2790C" w:rsidRPr="002F416A" w:rsidRDefault="006E4C21">
      <w:pPr>
        <w:pStyle w:val="para"/>
      </w:pPr>
      <w:r w:rsidRPr="006E4C21">
        <w:t xml:space="preserve">The </w:t>
      </w:r>
      <w:r w:rsidR="000A7507">
        <w:t>Port</w:t>
      </w:r>
      <w:r w:rsidRPr="006E4C21">
        <w:t xml:space="preserve"> hereby authorizes the</w:t>
      </w:r>
      <w:r>
        <w:t xml:space="preserve"> issua</w:t>
      </w:r>
      <w:r w:rsidRPr="00390A1A">
        <w:t>nce of general obligation bonds in an</w:t>
      </w:r>
      <w:r w:rsidRPr="006E4C21">
        <w:t xml:space="preserve"> aggregate principal amount not to exceed $</w:t>
      </w:r>
      <w:r w:rsidR="00143776">
        <w:t>2,660</w:t>
      </w:r>
      <w:r w:rsidR="001C0E18">
        <w:t xml:space="preserve">,000 </w:t>
      </w:r>
      <w:r>
        <w:t>(the “Bonds”)</w:t>
      </w:r>
      <w:r w:rsidR="006C74FA">
        <w:t xml:space="preserve"> </w:t>
      </w:r>
      <w:r w:rsidRPr="006E4C21">
        <w:t>to finance the projects set forth in the ballot title for the Bonds</w:t>
      </w:r>
      <w:r w:rsidR="00C2790C" w:rsidRPr="006E4C21">
        <w:t>.</w:t>
      </w:r>
    </w:p>
    <w:p w:rsidR="00C2790C" w:rsidRDefault="00C2790C">
      <w:pPr>
        <w:pStyle w:val="para"/>
      </w:pPr>
      <w:r w:rsidRPr="002F416A">
        <w:t xml:space="preserve">The Bonds </w:t>
      </w:r>
      <w:r w:rsidR="006C74FA">
        <w:t xml:space="preserve">may be issued in one or more </w:t>
      </w:r>
      <w:r w:rsidR="00976F2A">
        <w:t xml:space="preserve">series, </w:t>
      </w:r>
      <w:r w:rsidRPr="00390A1A">
        <w:t>shall mature over a period not exceeding</w:t>
      </w:r>
      <w:r w:rsidRPr="00FC69C4">
        <w:t xml:space="preserve"> </w:t>
      </w:r>
      <w:r w:rsidR="00143776">
        <w:t>twenty-five</w:t>
      </w:r>
      <w:r w:rsidR="001C0E18">
        <w:t xml:space="preserve"> </w:t>
      </w:r>
      <w:r w:rsidRPr="00FC69C4">
        <w:t>(</w:t>
      </w:r>
      <w:r w:rsidR="00143776">
        <w:t>2</w:t>
      </w:r>
      <w:r w:rsidR="001C0E18">
        <w:t>5</w:t>
      </w:r>
      <w:r w:rsidRPr="00FC69C4">
        <w:t>) years from their date of issue</w:t>
      </w:r>
      <w:r w:rsidR="00394498">
        <w:t xml:space="preserve"> and </w:t>
      </w:r>
      <w:r w:rsidR="00394498" w:rsidRPr="00394498">
        <w:t>have a maximum rate of interest of 7%</w:t>
      </w:r>
      <w:r w:rsidRPr="00FC69C4">
        <w:t>.</w:t>
      </w:r>
      <w:r w:rsidR="00A87068" w:rsidRPr="00FC69C4">
        <w:t xml:space="preserve"> </w:t>
      </w:r>
      <w:r w:rsidRPr="00FC69C4">
        <w:t xml:space="preserve"> </w:t>
      </w:r>
      <w:r w:rsidR="0053400F" w:rsidRPr="00FC69C4">
        <w:t>T</w:t>
      </w:r>
      <w:r w:rsidR="00A366D2" w:rsidRPr="00FC69C4">
        <w:t>he</w:t>
      </w:r>
      <w:r w:rsidRPr="00FC69C4">
        <w:t xml:space="preserve"> remaining terms</w:t>
      </w:r>
      <w:r>
        <w:t xml:space="preserve"> of the Bonds </w:t>
      </w:r>
      <w:r w:rsidR="0053400F">
        <w:t xml:space="preserve">shall be </w:t>
      </w:r>
      <w:r>
        <w:t>established as provided in Section 1</w:t>
      </w:r>
      <w:r w:rsidR="00C92075">
        <w:t>0</w:t>
      </w:r>
      <w:r>
        <w:t xml:space="preserve"> hereof.</w:t>
      </w:r>
    </w:p>
    <w:p w:rsidR="00C2790C" w:rsidRDefault="00C2790C">
      <w:pPr>
        <w:pStyle w:val="pge1"/>
      </w:pPr>
      <w:r>
        <w:t>DESIGNATION OF AUTHORIZED REPRESENTATIVES</w:t>
      </w:r>
    </w:p>
    <w:p w:rsidR="00C2790C" w:rsidRDefault="00C2790C">
      <w:pPr>
        <w:pStyle w:val="para"/>
      </w:pPr>
      <w:r>
        <w:t>The Board design</w:t>
      </w:r>
      <w:r w:rsidRPr="004B0753">
        <w:t xml:space="preserve">ates </w:t>
      </w:r>
      <w:r w:rsidRPr="00DA501A">
        <w:t xml:space="preserve">the </w:t>
      </w:r>
      <w:r w:rsidR="00593492" w:rsidRPr="00DA501A">
        <w:t>Chair</w:t>
      </w:r>
      <w:r w:rsidR="005469A7" w:rsidRPr="00DA501A">
        <w:t xml:space="preserve">, </w:t>
      </w:r>
      <w:r w:rsidR="00DD564B">
        <w:t>Vice-Chair</w:t>
      </w:r>
      <w:r w:rsidR="00303AD1" w:rsidRPr="00DA501A">
        <w:t xml:space="preserve">, </w:t>
      </w:r>
      <w:r w:rsidR="00DD564B">
        <w:t xml:space="preserve">Port </w:t>
      </w:r>
      <w:r w:rsidR="00ED3AB6">
        <w:t>Manager</w:t>
      </w:r>
      <w:r w:rsidR="00387723">
        <w:t xml:space="preserve"> </w:t>
      </w:r>
      <w:r w:rsidRPr="004B0753">
        <w:t>(each an “Authorized</w:t>
      </w:r>
      <w:r>
        <w:t xml:space="preserve"> Representative”) or a designee of </w:t>
      </w:r>
      <w:r w:rsidR="00996E7A">
        <w:t xml:space="preserve">an </w:t>
      </w:r>
      <w:r>
        <w:t xml:space="preserve">Authorized Representative to act on behalf of the </w:t>
      </w:r>
      <w:r w:rsidR="000A7507">
        <w:t>Port</w:t>
      </w:r>
      <w:r>
        <w:t xml:space="preserve"> as specified in Section 1</w:t>
      </w:r>
      <w:r w:rsidR="00996E7A">
        <w:t>0</w:t>
      </w:r>
      <w:r>
        <w:t xml:space="preserve"> hereof.</w:t>
      </w:r>
    </w:p>
    <w:p w:rsidR="00C2790C" w:rsidRDefault="00C2790C">
      <w:pPr>
        <w:pStyle w:val="pge1"/>
      </w:pPr>
      <w:r>
        <w:lastRenderedPageBreak/>
        <w:t>SECURITY</w:t>
      </w:r>
    </w:p>
    <w:p w:rsidR="00C2790C" w:rsidRDefault="006C74FA">
      <w:pPr>
        <w:pStyle w:val="para"/>
      </w:pPr>
      <w:r w:rsidRPr="006C74FA">
        <w:t xml:space="preserve">Pursuant to ORS 287A.315, the </w:t>
      </w:r>
      <w:r w:rsidR="000A7507">
        <w:t>Port</w:t>
      </w:r>
      <w:r w:rsidRPr="006C74FA">
        <w:t xml:space="preserve"> hereby pledges its full faith and credit and taxing power to pay the Bonds.  The </w:t>
      </w:r>
      <w:r w:rsidR="000A7507">
        <w:t>Port</w:t>
      </w:r>
      <w:r w:rsidRPr="006C74FA">
        <w:t xml:space="preserve"> hereby covenants for the benefit of the Owners to levy annually, as necessary, a direct ad valorem tax upon all of the taxable property within the </w:t>
      </w:r>
      <w:r w:rsidR="000A7507">
        <w:t>Port</w:t>
      </w:r>
      <w:r w:rsidRPr="006C74FA">
        <w:t xml:space="preserve"> which is sufficient, after taking into consideration discounts taken and delinquencies that may occur in the payment of such taxes and other legally available amounts, to pay all Bond principal and interest when due.  This tax shall be in addition to all other taxes of the </w:t>
      </w:r>
      <w:r w:rsidR="000A7507">
        <w:t>Port</w:t>
      </w:r>
      <w:r w:rsidRPr="006C74FA">
        <w:t>, and this tax shall not be limited in rate, amount or otherwise, by Sections 11 or 11b of Article XI of the Oregon Constitution.</w:t>
      </w:r>
    </w:p>
    <w:p w:rsidR="00C2790C" w:rsidRDefault="00C2790C">
      <w:pPr>
        <w:pStyle w:val="pge1"/>
      </w:pPr>
      <w:r>
        <w:t>FORM OF BONDS</w:t>
      </w:r>
    </w:p>
    <w:p w:rsidR="00C2790C" w:rsidRDefault="00C2790C">
      <w:pPr>
        <w:pStyle w:val="para"/>
      </w:pPr>
      <w:r>
        <w:t xml:space="preserve">The Bonds shall be issued in substantially the form as approved by the Authorized Representative.  The Bonds may be printed or typewritten, and may be issued as one or more temporary Bonds which shall be exchangeable for definitive Bonds when definitive Bonds are available.  </w:t>
      </w:r>
    </w:p>
    <w:p w:rsidR="00C2790C" w:rsidRDefault="00C2790C">
      <w:pPr>
        <w:pStyle w:val="pge1"/>
      </w:pPr>
      <w:r>
        <w:t>EXECUTION OF BONDS</w:t>
      </w:r>
    </w:p>
    <w:p w:rsidR="00C2790C" w:rsidRDefault="00C2790C">
      <w:pPr>
        <w:pStyle w:val="para"/>
      </w:pPr>
      <w:r w:rsidRPr="00394498">
        <w:t xml:space="preserve">The Bonds shall be executed on behalf of the </w:t>
      </w:r>
      <w:r w:rsidR="000A7507" w:rsidRPr="00394498">
        <w:t>Port</w:t>
      </w:r>
      <w:r w:rsidRPr="00394498">
        <w:t xml:space="preserve"> with the manual or facsimile signature of an Authorized Representative of the </w:t>
      </w:r>
      <w:r w:rsidR="000A7507" w:rsidRPr="00394498">
        <w:t>Port</w:t>
      </w:r>
      <w:r w:rsidRPr="00394498">
        <w:t>.</w:t>
      </w:r>
    </w:p>
    <w:p w:rsidR="00C2790C" w:rsidRDefault="00C2790C">
      <w:pPr>
        <w:pStyle w:val="pge1"/>
      </w:pPr>
      <w:r>
        <w:t>REDEMPTION</w:t>
      </w:r>
    </w:p>
    <w:p w:rsidR="00C2790C" w:rsidRDefault="00C2790C">
      <w:pPr>
        <w:pStyle w:val="para"/>
      </w:pPr>
      <w:r>
        <w:t xml:space="preserve">The Bonds may be subject to optional redemption or mandatory redemption prior to maturity as </w:t>
      </w:r>
      <w:r w:rsidR="003842C4">
        <w:t xml:space="preserve">determined under </w:t>
      </w:r>
      <w:r>
        <w:t>Section 1</w:t>
      </w:r>
      <w:r w:rsidR="00996E7A">
        <w:t>0</w:t>
      </w:r>
      <w:r>
        <w:t xml:space="preserve"> hereof.</w:t>
      </w:r>
    </w:p>
    <w:p w:rsidR="00C2790C" w:rsidRPr="00CE15B9" w:rsidRDefault="00C2790C">
      <w:pPr>
        <w:pStyle w:val="pge1"/>
      </w:pPr>
      <w:r w:rsidRPr="00CE15B9">
        <w:t>TAX-EXEMPT STATUS</w:t>
      </w:r>
    </w:p>
    <w:p w:rsidR="00C2790C" w:rsidRPr="00CE15B9" w:rsidRDefault="002B237A">
      <w:pPr>
        <w:pStyle w:val="para"/>
      </w:pPr>
      <w:r w:rsidRPr="00CE15B9">
        <w:t xml:space="preserve">If </w:t>
      </w:r>
      <w:r w:rsidR="00DD7172" w:rsidRPr="00CE15B9">
        <w:t xml:space="preserve">any portion of </w:t>
      </w:r>
      <w:r w:rsidRPr="00CE15B9">
        <w:t>the Bonds are issued as Tax-Exempt Bonds, t</w:t>
      </w:r>
      <w:r w:rsidR="00C2790C" w:rsidRPr="00CE15B9">
        <w:t xml:space="preserve">he </w:t>
      </w:r>
      <w:r w:rsidR="000A7507">
        <w:t>Port</w:t>
      </w:r>
      <w:r w:rsidR="00C2790C" w:rsidRPr="00CE15B9">
        <w:t xml:space="preserve"> covenants to use the </w:t>
      </w:r>
      <w:r w:rsidR="00DD7172" w:rsidRPr="00CE15B9">
        <w:t xml:space="preserve">portion of those </w:t>
      </w:r>
      <w:r w:rsidR="00C2790C" w:rsidRPr="00CE15B9">
        <w:t xml:space="preserve">proceeds of the Bonds, and the facilities financed with the Bonds, and to otherwise comply with the provisions of the Internal Revenue Code of 1986, as amended (the “Code”), so that interest paid on the Bonds will not be includable in gross income of the Bondowners for federal income tax purposes.  The </w:t>
      </w:r>
      <w:r w:rsidR="000A7507">
        <w:t>Port</w:t>
      </w:r>
      <w:r w:rsidR="00C2790C" w:rsidRPr="00CE15B9">
        <w:t xml:space="preserve"> specifically covenants:</w:t>
      </w:r>
    </w:p>
    <w:p w:rsidR="00C2790C" w:rsidRPr="00CE15B9" w:rsidRDefault="00C2790C" w:rsidP="002847EF">
      <w:pPr>
        <w:pStyle w:val="pge2"/>
        <w:numPr>
          <w:ilvl w:val="1"/>
          <w:numId w:val="6"/>
        </w:numPr>
        <w:tabs>
          <w:tab w:val="clear" w:pos="1710"/>
        </w:tabs>
        <w:ind w:left="0" w:firstLine="720"/>
      </w:pPr>
      <w:r w:rsidRPr="00CE15B9">
        <w:t>to comply with the “arbitrage” provisions of Section 148 of the Code, and to pay any rebates to the United States on the gross proceeds of the Bonds; and</w:t>
      </w:r>
    </w:p>
    <w:p w:rsidR="00C2790C" w:rsidRPr="00CE15B9" w:rsidRDefault="00C2790C" w:rsidP="00E224BF">
      <w:pPr>
        <w:pStyle w:val="pge2"/>
        <w:numPr>
          <w:ilvl w:val="1"/>
          <w:numId w:val="4"/>
        </w:numPr>
        <w:tabs>
          <w:tab w:val="clear" w:pos="1710"/>
        </w:tabs>
        <w:ind w:left="0" w:firstLine="720"/>
      </w:pPr>
      <w:r w:rsidRPr="00CE15B9">
        <w:t>to operate the facilities financed with the proceeds of the Bonds so that the Bonds are not “private activity bonds” under Section 141 of the Code; and</w:t>
      </w:r>
    </w:p>
    <w:p w:rsidR="00C2790C" w:rsidRPr="00CE15B9" w:rsidRDefault="00C2790C" w:rsidP="00E224BF">
      <w:pPr>
        <w:pStyle w:val="pge2"/>
        <w:numPr>
          <w:ilvl w:val="1"/>
          <w:numId w:val="4"/>
        </w:numPr>
        <w:tabs>
          <w:tab w:val="clear" w:pos="1710"/>
        </w:tabs>
        <w:ind w:left="0" w:firstLine="720"/>
      </w:pPr>
      <w:r w:rsidRPr="00CE15B9">
        <w:t>comply with all reporting requirements.</w:t>
      </w:r>
    </w:p>
    <w:p w:rsidR="00C2790C" w:rsidRPr="00CE15B9" w:rsidRDefault="00C2790C">
      <w:pPr>
        <w:pStyle w:val="para"/>
      </w:pPr>
      <w:r w:rsidRPr="00CE15B9">
        <w:t xml:space="preserve">The Authorized Representative may enter into covenants on behalf of the </w:t>
      </w:r>
      <w:r w:rsidR="000A7507">
        <w:t>Port</w:t>
      </w:r>
      <w:r w:rsidRPr="00CE15B9">
        <w:t xml:space="preserve"> to protect the tax-exempt status of the Bonds.</w:t>
      </w:r>
    </w:p>
    <w:p w:rsidR="00C2790C" w:rsidRPr="00CE15B9" w:rsidRDefault="00C2790C">
      <w:pPr>
        <w:pStyle w:val="pge1"/>
      </w:pPr>
      <w:r w:rsidRPr="00CE15B9">
        <w:t>DESIGNATION AS a “QUALIFIED TAX-EXEMPT OBLIGATION”</w:t>
      </w:r>
    </w:p>
    <w:p w:rsidR="00C2790C" w:rsidRPr="00CE15B9" w:rsidRDefault="00C2790C">
      <w:pPr>
        <w:pStyle w:val="para"/>
      </w:pPr>
      <w:r w:rsidRPr="00CE15B9">
        <w:t>The Authorized Representative, upon the advice of Bond Counsel, may designate any series of the Bonds as a “qualified tax-exempt obligation” pursuant to Section 265(b)(3)(B) of the Code.</w:t>
      </w:r>
    </w:p>
    <w:p w:rsidR="00C2790C" w:rsidRPr="00CE15B9" w:rsidRDefault="00C2790C" w:rsidP="00250C0A">
      <w:pPr>
        <w:pStyle w:val="pge1"/>
        <w:ind w:left="1440" w:hanging="1440"/>
      </w:pPr>
      <w:r w:rsidRPr="00CE15B9">
        <w:lastRenderedPageBreak/>
        <w:t xml:space="preserve">DELEGATION FOR ESTABLISHMENT OF TERMS AND </w:t>
      </w:r>
      <w:smartTag w:uri="urn:schemas-microsoft-com:office:smarttags" w:element="country-region">
        <w:smartTag w:uri="urn:schemas-microsoft-com:office:smarttags" w:element="place">
          <w:r w:rsidRPr="00CE15B9">
            <w:t>SALE</w:t>
          </w:r>
        </w:smartTag>
      </w:smartTag>
      <w:r w:rsidRPr="00CE15B9">
        <w:t xml:space="preserve"> OF THE BONDS</w:t>
      </w:r>
    </w:p>
    <w:p w:rsidR="00C2790C" w:rsidRPr="00CE15B9" w:rsidRDefault="00C2790C">
      <w:pPr>
        <w:pStyle w:val="para"/>
      </w:pPr>
      <w:r w:rsidRPr="00CE15B9">
        <w:t xml:space="preserve">The Authorized Representative is hereby authorized, on behalf of the </w:t>
      </w:r>
      <w:r w:rsidR="000A7507">
        <w:t>Port</w:t>
      </w:r>
      <w:r w:rsidRPr="00CE15B9">
        <w:t xml:space="preserve"> without further action of the Board</w:t>
      </w:r>
      <w:r w:rsidR="00966C19">
        <w:t xml:space="preserve"> </w:t>
      </w:r>
      <w:r w:rsidR="00966C19" w:rsidRPr="00966C19">
        <w:t>(and such actions of the Authorized Represen</w:t>
      </w:r>
      <w:r w:rsidR="00E81B4D">
        <w:t>t</w:t>
      </w:r>
      <w:r w:rsidR="00966C19" w:rsidRPr="00966C19">
        <w:t>ative</w:t>
      </w:r>
      <w:r w:rsidR="00E81B4D">
        <w:t>,</w:t>
      </w:r>
      <w:r w:rsidR="00966C19" w:rsidRPr="00966C19">
        <w:t xml:space="preserve"> if taken prior to the adoption of this resolution</w:t>
      </w:r>
      <w:r w:rsidR="00E81B4D">
        <w:t>,</w:t>
      </w:r>
      <w:r w:rsidR="00966C19" w:rsidRPr="00966C19">
        <w:t xml:space="preserve"> are hereby affirmed and authorized)</w:t>
      </w:r>
      <w:r w:rsidRPr="00CE15B9">
        <w:t>, to:</w:t>
      </w:r>
    </w:p>
    <w:p w:rsidR="003842C4" w:rsidRPr="003842C4" w:rsidRDefault="003842C4" w:rsidP="00F729B4">
      <w:pPr>
        <w:pStyle w:val="pge2"/>
        <w:numPr>
          <w:ilvl w:val="1"/>
          <w:numId w:val="19"/>
        </w:numPr>
        <w:tabs>
          <w:tab w:val="clear" w:pos="1710"/>
          <w:tab w:val="left" w:pos="810"/>
        </w:tabs>
        <w:ind w:left="0" w:firstLine="720"/>
        <w:rPr>
          <w:szCs w:val="22"/>
        </w:rPr>
      </w:pPr>
      <w:r w:rsidRPr="003842C4">
        <w:rPr>
          <w:szCs w:val="22"/>
        </w:rPr>
        <w:t>establish the principal and interest payment dates, principal amounts, interest rates, denominations,</w:t>
      </w:r>
      <w:r>
        <w:rPr>
          <w:szCs w:val="22"/>
        </w:rPr>
        <w:t xml:space="preserve"> redemption provisions</w:t>
      </w:r>
      <w:r w:rsidRPr="003842C4">
        <w:rPr>
          <w:szCs w:val="22"/>
        </w:rPr>
        <w:t xml:space="preserve"> and all other terms </w:t>
      </w:r>
      <w:r w:rsidR="009B50FD">
        <w:rPr>
          <w:szCs w:val="22"/>
        </w:rPr>
        <w:t xml:space="preserve">of </w:t>
      </w:r>
      <w:r w:rsidRPr="003842C4">
        <w:rPr>
          <w:szCs w:val="22"/>
        </w:rPr>
        <w:t>the Bonds;</w:t>
      </w:r>
    </w:p>
    <w:p w:rsidR="00071432" w:rsidRDefault="00A366D2" w:rsidP="00F729B4">
      <w:pPr>
        <w:pStyle w:val="pge2"/>
        <w:numPr>
          <w:ilvl w:val="1"/>
          <w:numId w:val="19"/>
        </w:numPr>
        <w:tabs>
          <w:tab w:val="clear" w:pos="1710"/>
        </w:tabs>
        <w:ind w:left="0" w:firstLine="720"/>
      </w:pPr>
      <w:r>
        <w:t>n</w:t>
      </w:r>
      <w:r w:rsidR="005F406F" w:rsidRPr="005F406F">
        <w:t xml:space="preserve">egotiate </w:t>
      </w:r>
      <w:r>
        <w:t xml:space="preserve">the </w:t>
      </w:r>
      <w:r w:rsidR="005F406F" w:rsidRPr="005F406F">
        <w:t>terms of a</w:t>
      </w:r>
      <w:r w:rsidR="008332A6">
        <w:t>nd execute a</w:t>
      </w:r>
      <w:r w:rsidR="005F406F" w:rsidRPr="005F406F">
        <w:t xml:space="preserve"> bond purchase agreement</w:t>
      </w:r>
      <w:r>
        <w:t xml:space="preserve"> with the </w:t>
      </w:r>
      <w:r w:rsidR="0053400F">
        <w:t>underwriter</w:t>
      </w:r>
      <w:r w:rsidR="005F406F" w:rsidRPr="005F406F">
        <w:t>;</w:t>
      </w:r>
    </w:p>
    <w:p w:rsidR="00C2790C" w:rsidRDefault="00C2790C" w:rsidP="00401C59">
      <w:pPr>
        <w:pStyle w:val="pge2"/>
        <w:ind w:firstLine="720"/>
      </w:pPr>
      <w:r w:rsidRPr="00CE15B9">
        <w:t>enter into covenants regarding the use of the proceeds of the Bonds and the projects financed with the proceeds of the Bonds</w:t>
      </w:r>
      <w:r w:rsidRPr="009C060D">
        <w:t>;</w:t>
      </w:r>
    </w:p>
    <w:p w:rsidR="0053400F" w:rsidRDefault="00FF52F5" w:rsidP="005D736E">
      <w:pPr>
        <w:pStyle w:val="pge2"/>
        <w:ind w:firstLine="720"/>
      </w:pPr>
      <w:r w:rsidRPr="00FF52F5">
        <w:t>appoint a registrar</w:t>
      </w:r>
      <w:r>
        <w:t xml:space="preserve"> and paying agent for the Bonds, if necessary;</w:t>
      </w:r>
    </w:p>
    <w:p w:rsidR="0053400F" w:rsidRDefault="0053400F" w:rsidP="00401C59">
      <w:pPr>
        <w:pStyle w:val="pge2"/>
        <w:ind w:firstLine="720"/>
      </w:pPr>
      <w:r w:rsidRPr="0053400F">
        <w:t>take such actions as are necessary to qualify the Bonds for the book-entry only system of The Depository Trust Company if required;</w:t>
      </w:r>
    </w:p>
    <w:p w:rsidR="0053400F" w:rsidRDefault="0053400F" w:rsidP="00401C59">
      <w:pPr>
        <w:pStyle w:val="pge2"/>
        <w:ind w:firstLine="720"/>
      </w:pPr>
      <w:r w:rsidRPr="0053400F">
        <w:t>approve of and authorize the distribution of the preliminary and final official statements for the Bonds</w:t>
      </w:r>
      <w:r w:rsidR="00401C59">
        <w:t>, if required</w:t>
      </w:r>
      <w:r w:rsidRPr="0053400F">
        <w:t>;</w:t>
      </w:r>
    </w:p>
    <w:p w:rsidR="00163543" w:rsidRDefault="0053400F" w:rsidP="00921CC9">
      <w:pPr>
        <w:pStyle w:val="pge2"/>
        <w:ind w:firstLine="720"/>
      </w:pPr>
      <w:r w:rsidRPr="0053400F">
        <w:t xml:space="preserve">obtain one or more ratings on the Bonds if determined by the Authorized Representative to be in the best interest of the </w:t>
      </w:r>
      <w:r w:rsidR="000A7507">
        <w:t>Port</w:t>
      </w:r>
      <w:r w:rsidRPr="0053400F">
        <w:t>, and expend Bond proceeds to pay the costs of obtaining such rating;</w:t>
      </w:r>
    </w:p>
    <w:p w:rsidR="0053400F" w:rsidRDefault="0053400F" w:rsidP="00401C59">
      <w:pPr>
        <w:pStyle w:val="pge2"/>
        <w:ind w:firstLine="720"/>
      </w:pPr>
      <w:r w:rsidRPr="0053400F">
        <w:t>apply, if available and deemed appropriate, and expend Bond proceeds to pay any insurance premium;</w:t>
      </w:r>
    </w:p>
    <w:p w:rsidR="0053400F" w:rsidRDefault="0053400F" w:rsidP="00401C59">
      <w:pPr>
        <w:pStyle w:val="pge2"/>
        <w:ind w:firstLine="720"/>
      </w:pPr>
      <w:r w:rsidRPr="0053400F">
        <w:t>approve, execute and deliver a Continuing Disclosure Certificate pursuant to SEC Rule 15c2-12, as amended (17 CFR Part 240, § 240.15c2-12)</w:t>
      </w:r>
      <w:r w:rsidR="00401C59">
        <w:t>, if required</w:t>
      </w:r>
      <w:r w:rsidRPr="0053400F">
        <w:t>;</w:t>
      </w:r>
    </w:p>
    <w:p w:rsidR="00C2790C" w:rsidRPr="00CE15B9" w:rsidRDefault="00C2790C" w:rsidP="00401C59">
      <w:pPr>
        <w:pStyle w:val="pge2"/>
        <w:ind w:firstLine="720"/>
      </w:pPr>
      <w:r w:rsidRPr="00CE15B9">
        <w:t xml:space="preserve">approve, execute and deliver the Bond closing documents and certificates; </w:t>
      </w:r>
    </w:p>
    <w:p w:rsidR="005E261F" w:rsidRDefault="005E261F" w:rsidP="00401C59">
      <w:pPr>
        <w:pStyle w:val="pge2"/>
        <w:ind w:firstLine="720"/>
      </w:pPr>
      <w:r>
        <w:t>determine if the Bonds shall be issued as federally tax-exempt or taxable obligations;</w:t>
      </w:r>
    </w:p>
    <w:p w:rsidR="00C2790C" w:rsidRPr="00CE15B9" w:rsidRDefault="00C2790C" w:rsidP="00401C59">
      <w:pPr>
        <w:pStyle w:val="pge2"/>
        <w:ind w:firstLine="720"/>
      </w:pPr>
      <w:r w:rsidRPr="00CE15B9">
        <w:t>make any clarifying changes or additional covenants not inconsistent with this Resolution; and</w:t>
      </w:r>
    </w:p>
    <w:p w:rsidR="00C2790C" w:rsidRDefault="00C2790C" w:rsidP="00401C59">
      <w:pPr>
        <w:pStyle w:val="pge2"/>
        <w:ind w:firstLine="720"/>
      </w:pPr>
      <w:r>
        <w:t>execute and deliver a certificate specifying the action taken by the Authorized Representative pursuant to this Section 1</w:t>
      </w:r>
      <w:r w:rsidR="00996E7A">
        <w:t>0</w:t>
      </w:r>
      <w:r>
        <w:t xml:space="preserve"> and any other certificates, documents or agreements that the Authorized Representative determines are desirable to issue, sell and deliver the Bonds in accordance with this Resolution.</w:t>
      </w:r>
    </w:p>
    <w:p w:rsidR="00C2790C" w:rsidRDefault="00C2790C">
      <w:pPr>
        <w:pStyle w:val="pge1"/>
        <w:ind w:left="0" w:firstLine="0"/>
      </w:pPr>
      <w:r>
        <w:t>Default and Remedies.</w:t>
      </w:r>
    </w:p>
    <w:p w:rsidR="00C2790C" w:rsidRDefault="00C2790C">
      <w:pPr>
        <w:pStyle w:val="para"/>
      </w:pPr>
      <w:r>
        <w:t>The occurrence of one or more of the following shall constitute an Event of Default under this Resolution and the Bonds:</w:t>
      </w:r>
    </w:p>
    <w:p w:rsidR="00C2790C" w:rsidRDefault="00C2790C" w:rsidP="00F729B4">
      <w:pPr>
        <w:pStyle w:val="pge2"/>
        <w:numPr>
          <w:ilvl w:val="1"/>
          <w:numId w:val="11"/>
        </w:numPr>
        <w:tabs>
          <w:tab w:val="clear" w:pos="1710"/>
        </w:tabs>
        <w:ind w:left="0" w:firstLine="720"/>
      </w:pPr>
      <w:r>
        <w:t xml:space="preserve">Failure by the </w:t>
      </w:r>
      <w:r w:rsidR="000A7507">
        <w:t>Port</w:t>
      </w:r>
      <w:r>
        <w:t xml:space="preserve"> to pay Bond principal, interest or premium when due (whether at maturity, or upon redemption after a Bond has been properly called for redemption);</w:t>
      </w:r>
    </w:p>
    <w:p w:rsidR="00C2790C" w:rsidRDefault="00C2790C">
      <w:pPr>
        <w:pStyle w:val="pge2"/>
        <w:ind w:firstLine="720"/>
      </w:pPr>
      <w:r>
        <w:lastRenderedPageBreak/>
        <w:t xml:space="preserve">Failure by the </w:t>
      </w:r>
      <w:r w:rsidR="000A7507">
        <w:t>Port</w:t>
      </w:r>
      <w:r>
        <w:t xml:space="preserve"> to observe and perform any covenant, condition or agreement on its part to be observed or performed for the benefit of Owners of Bonds, for a period of </w:t>
      </w:r>
      <w:r w:rsidR="00530EFE">
        <w:t>sixty</w:t>
      </w:r>
      <w:r>
        <w:t xml:space="preserve"> (</w:t>
      </w:r>
      <w:r w:rsidR="00530EFE">
        <w:t>6</w:t>
      </w:r>
      <w:r>
        <w:t xml:space="preserve">0) days after written notice to the </w:t>
      </w:r>
      <w:r w:rsidR="000A7507">
        <w:t>Port</w:t>
      </w:r>
      <w:r>
        <w:t xml:space="preserve"> by the Owners of fifty-one (51%) percent or more of the principal amount of Bonds then Outstanding specifying such failure and requesting that it be remedied; provided however, that if the failure stated in the notice cannot be corrected within such </w:t>
      </w:r>
      <w:r w:rsidR="00530EFE">
        <w:t>sixty</w:t>
      </w:r>
      <w:r>
        <w:t xml:space="preserve"> (</w:t>
      </w:r>
      <w:r w:rsidR="00530EFE">
        <w:t>6</w:t>
      </w:r>
      <w:r>
        <w:t xml:space="preserve">0) day period, it shall not constitute an Event of Default so long as corrective action is instituted by the </w:t>
      </w:r>
      <w:r w:rsidR="000A7507">
        <w:t>Port</w:t>
      </w:r>
      <w:r>
        <w:t xml:space="preserve"> within the </w:t>
      </w:r>
      <w:r w:rsidR="00530EFE">
        <w:t>sixty</w:t>
      </w:r>
      <w:r>
        <w:t xml:space="preserve"> (</w:t>
      </w:r>
      <w:r w:rsidR="00530EFE">
        <w:t>6</w:t>
      </w:r>
      <w:r>
        <w:t>0) day period and diligently pursued, and the default is corrected as promptly as practicable after the written notice referred to in this paragraph; or,</w:t>
      </w:r>
    </w:p>
    <w:p w:rsidR="00C2790C" w:rsidRDefault="00C2790C">
      <w:pPr>
        <w:pStyle w:val="pge2"/>
        <w:ind w:firstLine="720"/>
      </w:pPr>
      <w:r>
        <w:t xml:space="preserve">The </w:t>
      </w:r>
      <w:r w:rsidR="000A7507">
        <w:t>Port</w:t>
      </w:r>
      <w:r>
        <w:t xml:space="preserve"> is adjudged insolvent by a court of competent jurisdiction, admits in writing its inability to pay its debts generally as they become due, files a petition in bankruptcy, or consents to the appointment of a receiver for the payments.</w:t>
      </w:r>
    </w:p>
    <w:p w:rsidR="00C2790C" w:rsidRDefault="00C2790C">
      <w:pPr>
        <w:pStyle w:val="para"/>
      </w:pPr>
      <w:r>
        <w:t>The Owners of fifty-one (51%) percent or more of the principal amount of Bonds then Outstanding may waive any Event of Default and its consequences, except an Event of Default as described in (a) of this Section.</w:t>
      </w:r>
    </w:p>
    <w:p w:rsidR="00C2790C" w:rsidRDefault="00C2790C">
      <w:pPr>
        <w:pStyle w:val="pge2"/>
        <w:numPr>
          <w:ilvl w:val="0"/>
          <w:numId w:val="0"/>
        </w:numPr>
        <w:ind w:firstLine="720"/>
      </w:pPr>
      <w:r>
        <w:t>Upon the occurrence and continuance of any Event of Default hereunder the Owners of fifty-one (51%) percent or more of the principal amount of Bonds then Outstanding may take whatever action may appear necessary or desirable to enforce or to protect any of the rights of the Owners of Bonds, either at law or in equity or in bankruptcy or otherwise, whether for the specific enforcement of any covenant or agreement contained in this Resolution or the Bonds or in aid of the exercise of any power granted in this Resolution or in the Bonds or for the enforcement of any other legal or equitable right vested in the Owners of Bonds by the Resolution or the Bonds or by law.  However, the Bonds shall not be subject to acceleration.</w:t>
      </w:r>
    </w:p>
    <w:p w:rsidR="00C2790C" w:rsidRDefault="00286A96">
      <w:pPr>
        <w:pStyle w:val="pge2"/>
        <w:numPr>
          <w:ilvl w:val="0"/>
          <w:numId w:val="0"/>
        </w:numPr>
        <w:ind w:firstLine="720"/>
      </w:pPr>
      <w:r>
        <w:t>No remedy in this</w:t>
      </w:r>
      <w:r w:rsidR="00C2790C">
        <w:t xml:space="preserve"> Resolution conferred upon or reserved to Owners of Bonds is intended to be exclusive and every such remedy shall be cumulative and shall be in addition to ev</w:t>
      </w:r>
      <w:r>
        <w:t>ery other remedy given under this</w:t>
      </w:r>
      <w:r w:rsidR="00C2790C">
        <w:t xml:space="preserve"> Resolution or now or hereafter existing at law or in equity.  No delay or omission to exercise any right or power accruing upon any default shall be construed to be a waiver thereof, but any such right and power may be exercised from time to time and as often as may be deemed expedient.  To entitle the Owners of Bonds to exercise any remedy reserved to them, it shall not be necessary to give any notice other than such notice as may be required by this Resolution or by law.</w:t>
      </w:r>
    </w:p>
    <w:p w:rsidR="00C2790C" w:rsidRDefault="00C2790C">
      <w:pPr>
        <w:pStyle w:val="pge1"/>
      </w:pPr>
      <w:r>
        <w:t>DEFEASANCE</w:t>
      </w:r>
    </w:p>
    <w:p w:rsidR="00C2790C" w:rsidRDefault="00C2790C">
      <w:pPr>
        <w:pStyle w:val="para"/>
      </w:pPr>
      <w:r>
        <w:t xml:space="preserve">The </w:t>
      </w:r>
      <w:r w:rsidR="000A7507">
        <w:t>Port</w:t>
      </w:r>
      <w:r>
        <w:t xml:space="preserve"> may defease the Bonds by setting aside, with a duly appointed escrow agent, in a special escrow account irrevocably pledged to the payment of the Bonds to be defeased, cash or direct obligations of the United States in an amount which, in the opinion of an independent certified public accountant, is sufficient without reinvestment to pay all principal and interest on the defeased Bonds until their maturity date or any earlier redemption date.  Bonds which have been defeased pursuant to this Section shall be deemed paid and no longer outstanding, and shall cease to be entitled to any lien, benefit or security under this Resolution except the right to receive payment from such special escrow account.</w:t>
      </w:r>
    </w:p>
    <w:p w:rsidR="00C2790C" w:rsidRDefault="00C2790C">
      <w:pPr>
        <w:pStyle w:val="pge1"/>
      </w:pPr>
      <w:r>
        <w:t>establishment of funds and accounts</w:t>
      </w:r>
    </w:p>
    <w:p w:rsidR="00C2790C" w:rsidRDefault="00C2790C">
      <w:pPr>
        <w:pStyle w:val="para"/>
      </w:pPr>
      <w:r>
        <w:t>The following funds and accounts shall be created into which the proceeds of the Bonds shall be deposited, which funds and accounts shall be continually maintained, except as otherwise provided, so long as the Bonds remain unpaid.</w:t>
      </w:r>
    </w:p>
    <w:p w:rsidR="00C2790C" w:rsidRDefault="00C2790C" w:rsidP="0009153F">
      <w:pPr>
        <w:pStyle w:val="pge2"/>
        <w:numPr>
          <w:ilvl w:val="1"/>
          <w:numId w:val="15"/>
        </w:numPr>
        <w:tabs>
          <w:tab w:val="clear" w:pos="1710"/>
        </w:tabs>
        <w:ind w:left="0" w:firstLine="720"/>
      </w:pPr>
      <w:r>
        <w:rPr>
          <w:rStyle w:val="Stylepge2UnderlineChar"/>
        </w:rPr>
        <w:lastRenderedPageBreak/>
        <w:t>Debt Service Account</w:t>
      </w:r>
      <w:r>
        <w:t xml:space="preserve">.  The </w:t>
      </w:r>
      <w:r w:rsidR="000A7507">
        <w:t>Port</w:t>
      </w:r>
      <w:r>
        <w:t xml:space="preserve"> shall maintain the debt service account in the </w:t>
      </w:r>
      <w:r w:rsidR="000A7507">
        <w:t>Port</w:t>
      </w:r>
      <w:r>
        <w:t>’s debt service fund for the payment of principal, premium, if any, and interest on the Bonds as they become due.  All accrued interest, if any, and all taxes levied and other moneys available for the payment of the Bonds shall be deposited to the debt service account.</w:t>
      </w:r>
    </w:p>
    <w:p w:rsidR="00C2790C" w:rsidRDefault="00C2790C">
      <w:pPr>
        <w:pStyle w:val="pge2"/>
        <w:ind w:firstLine="720"/>
      </w:pPr>
      <w:r>
        <w:rPr>
          <w:rStyle w:val="Stylepge2UnderlineChar"/>
        </w:rPr>
        <w:t>Project Fund</w:t>
      </w:r>
      <w:r>
        <w:t xml:space="preserve">.  The </w:t>
      </w:r>
      <w:r w:rsidR="000A7507">
        <w:t>Port</w:t>
      </w:r>
      <w:r>
        <w:t xml:space="preserve"> shall maintain the project fund for the purpose of accounting for and paying all costs of the projects and the costs related to the preparation, authorization, issuance, and sale of the Bonds.  Any interest earnings on moneys invested from the project fund shall be retained in the project fund.  The </w:t>
      </w:r>
      <w:r w:rsidR="000A7507">
        <w:t>Port</w:t>
      </w:r>
      <w:r>
        <w:t>’s share of any liquidated damages or other moneys paid by defaulting contractors or their sureties will be deposited into the project fund to assure the completion of the projects.</w:t>
      </w:r>
    </w:p>
    <w:p w:rsidR="00C2790C" w:rsidRDefault="00C2790C">
      <w:pPr>
        <w:pStyle w:val="para"/>
      </w:pPr>
      <w:r>
        <w:t>Upon completion of the projects and upon payment in full of all costs related thereto, any balance remaining in the project fund shall be deposited to the Debt Service Account for payment of debt service.</w:t>
      </w:r>
    </w:p>
    <w:p w:rsidR="00FB638F" w:rsidRPr="001F65E2" w:rsidRDefault="00FB638F" w:rsidP="00FB638F">
      <w:pPr>
        <w:pStyle w:val="pge1"/>
        <w:rPr>
          <w:rFonts w:ascii="Times New Roman" w:hAnsi="Times New Roman"/>
        </w:rPr>
      </w:pPr>
      <w:r w:rsidRPr="001F65E2">
        <w:rPr>
          <w:rFonts w:ascii="Times New Roman" w:hAnsi="Times New Roman"/>
        </w:rPr>
        <w:t>professionals</w:t>
      </w:r>
    </w:p>
    <w:p w:rsidR="00FB638F" w:rsidRDefault="00FB638F" w:rsidP="00FB638F">
      <w:pPr>
        <w:pStyle w:val="para"/>
        <w:rPr>
          <w:szCs w:val="22"/>
        </w:rPr>
      </w:pPr>
      <w:r w:rsidRPr="001F65E2">
        <w:rPr>
          <w:szCs w:val="22"/>
        </w:rPr>
        <w:t xml:space="preserve">The </w:t>
      </w:r>
      <w:r w:rsidR="000A7507">
        <w:rPr>
          <w:szCs w:val="22"/>
        </w:rPr>
        <w:t>Port</w:t>
      </w:r>
      <w:r w:rsidRPr="001F65E2">
        <w:rPr>
          <w:szCs w:val="22"/>
        </w:rPr>
        <w:t xml:space="preserve"> hereby affirms Hawkins Delafield &amp; Wood LLP as </w:t>
      </w:r>
      <w:r w:rsidR="009B50FD">
        <w:rPr>
          <w:szCs w:val="22"/>
        </w:rPr>
        <w:t>b</w:t>
      </w:r>
      <w:r w:rsidRPr="001F65E2">
        <w:rPr>
          <w:szCs w:val="22"/>
        </w:rPr>
        <w:t xml:space="preserve">ond </w:t>
      </w:r>
      <w:r w:rsidR="009B50FD">
        <w:rPr>
          <w:szCs w:val="22"/>
        </w:rPr>
        <w:t>c</w:t>
      </w:r>
      <w:r w:rsidRPr="001F65E2">
        <w:rPr>
          <w:szCs w:val="22"/>
        </w:rPr>
        <w:t xml:space="preserve">ounsel for the issuance of </w:t>
      </w:r>
      <w:r w:rsidRPr="004D2D06">
        <w:rPr>
          <w:szCs w:val="22"/>
        </w:rPr>
        <w:t>the Bonds</w:t>
      </w:r>
      <w:r w:rsidR="001E09C7">
        <w:rPr>
          <w:szCs w:val="22"/>
        </w:rPr>
        <w:t xml:space="preserve"> and </w:t>
      </w:r>
      <w:r w:rsidR="007D29DE">
        <w:rPr>
          <w:szCs w:val="22"/>
        </w:rPr>
        <w:t>SDAO Advisory Services LLC</w:t>
      </w:r>
      <w:r w:rsidR="001E09C7">
        <w:rPr>
          <w:szCs w:val="22"/>
        </w:rPr>
        <w:t xml:space="preserve">, as </w:t>
      </w:r>
      <w:r w:rsidR="007D29DE">
        <w:rPr>
          <w:szCs w:val="22"/>
        </w:rPr>
        <w:t>municipal advisor</w:t>
      </w:r>
      <w:r w:rsidRPr="004D2D06">
        <w:rPr>
          <w:szCs w:val="22"/>
        </w:rPr>
        <w:t>.</w:t>
      </w:r>
      <w:r w:rsidRPr="001F65E2">
        <w:rPr>
          <w:szCs w:val="22"/>
        </w:rPr>
        <w:t xml:space="preserve">  </w:t>
      </w:r>
    </w:p>
    <w:p w:rsidR="00A5262F" w:rsidRPr="000F095A" w:rsidRDefault="00A5262F" w:rsidP="00A5262F">
      <w:pPr>
        <w:pStyle w:val="pge1"/>
        <w:ind w:left="1440" w:hanging="1440"/>
        <w:rPr>
          <w:rFonts w:ascii="Times New Roman" w:hAnsi="Times New Roman"/>
        </w:rPr>
      </w:pPr>
      <w:r w:rsidRPr="000F095A">
        <w:t>APPROVAL OF POST ISSUANCE COMPLIANCE PROCEDURES</w:t>
      </w:r>
    </w:p>
    <w:p w:rsidR="00A5262F" w:rsidRDefault="00A5262F" w:rsidP="00A5262F">
      <w:pPr>
        <w:pStyle w:val="para"/>
        <w:rPr>
          <w:szCs w:val="22"/>
        </w:rPr>
      </w:pPr>
      <w:r w:rsidRPr="000F095A">
        <w:t>The Board hereby approves the post issuance compliance procedures in substantially the form attached hereto as Exhibit A with such modifications as deemed desirable by the Authorized Representative to assist in the compliance with federal tax and securities law.</w:t>
      </w:r>
      <w:r w:rsidRPr="000F095A">
        <w:rPr>
          <w:szCs w:val="22"/>
        </w:rPr>
        <w:t xml:space="preserve"> </w:t>
      </w:r>
    </w:p>
    <w:p w:rsidR="00C2790C" w:rsidRDefault="00C2790C">
      <w:pPr>
        <w:pStyle w:val="pge1"/>
      </w:pPr>
      <w:r>
        <w:t>RESOLUTION TO CONSTITUTE CONTRACT</w:t>
      </w:r>
    </w:p>
    <w:p w:rsidR="00C2790C" w:rsidRDefault="00C2790C">
      <w:pPr>
        <w:pStyle w:val="para"/>
      </w:pPr>
      <w:r>
        <w:t xml:space="preserve">In consideration of the purchase and acceptance of any or all of the Bonds by those who shall own the Bonds from time to time (the “Owners”), the provisions of this Resolution shall be part of the contract of the </w:t>
      </w:r>
      <w:r w:rsidR="000A7507">
        <w:t>Port</w:t>
      </w:r>
      <w:r>
        <w:t xml:space="preserve"> with the Owners and shall be deemed to be and shall constitute a contract between the </w:t>
      </w:r>
      <w:r w:rsidR="000A7507">
        <w:t>Port</w:t>
      </w:r>
      <w:r>
        <w:t xml:space="preserve"> and the Owners.  The covenants, pledges, representations and warranties contained in this Resolution or in the closing documents executed in connection with the Bonds, including without limitation the </w:t>
      </w:r>
      <w:r w:rsidR="000A7507">
        <w:t>Port</w:t>
      </w:r>
      <w:r>
        <w:t xml:space="preserve">’s covenants and pledges contained in Section 4 hereof, and the other covenants and agreements herein set forth to be performed by or on behalf of the </w:t>
      </w:r>
      <w:r w:rsidR="000A7507">
        <w:t>Port</w:t>
      </w:r>
      <w:r>
        <w:t xml:space="preserve"> shall be contracts for the equal benefit, protection and security of the Owners, all of which shall be of equal rank without preference, priority or distinction of any of such Bonds over any other thereof, except as expressly provided in or pursuant to this Resolution.</w:t>
      </w:r>
    </w:p>
    <w:p w:rsidR="00C2790C" w:rsidRPr="004B0753" w:rsidRDefault="009F2959">
      <w:pPr>
        <w:pStyle w:val="adoptpara"/>
      </w:pPr>
      <w:r>
        <w:br w:type="page"/>
      </w:r>
      <w:r w:rsidR="00C2790C">
        <w:lastRenderedPageBreak/>
        <w:t xml:space="preserve">ADOPTED by the </w:t>
      </w:r>
      <w:r w:rsidR="000027FD">
        <w:t>Board of Commissioners</w:t>
      </w:r>
      <w:r w:rsidR="00C2790C">
        <w:t xml:space="preserve"> of the </w:t>
      </w:r>
      <w:r w:rsidR="000A7507">
        <w:t>Port of Alsea</w:t>
      </w:r>
      <w:r w:rsidR="00C2790C" w:rsidRPr="004B0753">
        <w:t xml:space="preserve">, </w:t>
      </w:r>
      <w:r w:rsidR="000A7507">
        <w:t>Lincoln County</w:t>
      </w:r>
      <w:r w:rsidR="006A049A">
        <w:t>, Oregon</w:t>
      </w:r>
      <w:r w:rsidR="007520F8">
        <w:t xml:space="preserve"> </w:t>
      </w:r>
      <w:r w:rsidR="001E09C7">
        <w:t xml:space="preserve">this </w:t>
      </w:r>
      <w:r w:rsidR="00604959">
        <w:t>28</w:t>
      </w:r>
      <w:r w:rsidR="00604959" w:rsidRPr="00604959">
        <w:rPr>
          <w:vertAlign w:val="superscript"/>
        </w:rPr>
        <w:t>th</w:t>
      </w:r>
      <w:r w:rsidR="00604959">
        <w:t xml:space="preserve"> </w:t>
      </w:r>
      <w:r w:rsidR="00C2790C" w:rsidRPr="00303AD1">
        <w:t xml:space="preserve">day of </w:t>
      </w:r>
      <w:r w:rsidR="00604959">
        <w:t>June</w:t>
      </w:r>
      <w:bookmarkStart w:id="0" w:name="_GoBack"/>
      <w:bookmarkEnd w:id="0"/>
      <w:r w:rsidR="00FB638F" w:rsidRPr="00303AD1">
        <w:t>, 201</w:t>
      </w:r>
      <w:r w:rsidR="00303AD1" w:rsidRPr="00303AD1">
        <w:t>8</w:t>
      </w:r>
      <w:r w:rsidR="00C2790C" w:rsidRPr="004B0753">
        <w:t>.</w:t>
      </w:r>
    </w:p>
    <w:p w:rsidR="00C2790C" w:rsidRPr="004B0753" w:rsidRDefault="000A7507">
      <w:pPr>
        <w:pStyle w:val="sig1"/>
      </w:pPr>
      <w:r>
        <w:t>Port of Alsea</w:t>
      </w:r>
      <w:r w:rsidR="009B50FD">
        <w:br/>
      </w:r>
      <w:r>
        <w:t>Lincoln County</w:t>
      </w:r>
      <w:r w:rsidR="006A049A">
        <w:t>, Oregon</w:t>
      </w:r>
    </w:p>
    <w:p w:rsidR="00C2790C" w:rsidRDefault="00C2790C">
      <w:pPr>
        <w:pStyle w:val="by1"/>
      </w:pPr>
      <w:r w:rsidRPr="004B0753">
        <w:t>By:  ________________________________</w:t>
      </w:r>
    </w:p>
    <w:p w:rsidR="00C2790C" w:rsidRDefault="000B126B">
      <w:pPr>
        <w:pStyle w:val="whotitle"/>
      </w:pPr>
      <w:r>
        <w:t>Chair</w:t>
      </w:r>
      <w:r w:rsidR="0064478E">
        <w:t>, Board of Commissioners</w:t>
      </w:r>
    </w:p>
    <w:p w:rsidR="00C2790C" w:rsidRPr="00894BF2" w:rsidRDefault="00C2790C">
      <w:pPr>
        <w:pStyle w:val="attest"/>
        <w:rPr>
          <w:b/>
        </w:rPr>
      </w:pPr>
      <w:r w:rsidRPr="00894BF2">
        <w:rPr>
          <w:b/>
        </w:rPr>
        <w:t>ATTEST:</w:t>
      </w:r>
    </w:p>
    <w:p w:rsidR="001E09C7" w:rsidRDefault="00C2790C" w:rsidP="008D7FCE">
      <w:pPr>
        <w:pStyle w:val="by2"/>
      </w:pPr>
      <w:r>
        <w:t>By:  ________________________________</w:t>
      </w:r>
      <w:r w:rsidR="00996E7A">
        <w:t>_____</w:t>
      </w:r>
    </w:p>
    <w:p w:rsidR="002E6EDA" w:rsidRDefault="001E09C7" w:rsidP="008D7FCE">
      <w:pPr>
        <w:pStyle w:val="by2"/>
        <w:sectPr w:rsidR="002E6EDA" w:rsidSect="00874AC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pPr>
      <w:r>
        <w:tab/>
      </w:r>
      <w:r w:rsidR="0064478E">
        <w:t>Secretary/Treasurer</w:t>
      </w:r>
    </w:p>
    <w:p w:rsidR="002E6EDA" w:rsidRPr="00D4651F" w:rsidRDefault="002E6EDA" w:rsidP="002E6EDA">
      <w:pPr>
        <w:spacing w:after="120" w:line="360" w:lineRule="auto"/>
        <w:jc w:val="center"/>
        <w:rPr>
          <w:rFonts w:eastAsia="Calibri"/>
        </w:rPr>
      </w:pPr>
      <w:r w:rsidRPr="00D4651F">
        <w:rPr>
          <w:rFonts w:eastAsia="Calibri"/>
        </w:rPr>
        <w:lastRenderedPageBreak/>
        <w:t>.</w:t>
      </w:r>
      <w:r w:rsidRPr="00D4651F">
        <w:rPr>
          <w:rFonts w:eastAsia="Calibri"/>
        </w:rPr>
        <w:br/>
      </w:r>
      <w:r w:rsidRPr="00D4651F">
        <w:rPr>
          <w:rFonts w:eastAsia="Calibri"/>
          <w:u w:val="single"/>
        </w:rPr>
        <w:t>PURPOSE</w:t>
      </w:r>
      <w:r w:rsidRPr="00D4651F">
        <w:rPr>
          <w:rFonts w:eastAsia="Calibri"/>
        </w:rPr>
        <w:t>.</w:t>
      </w:r>
    </w:p>
    <w:p w:rsidR="002E6EDA" w:rsidRPr="00D4651F" w:rsidRDefault="002E6EDA" w:rsidP="002E6EDA">
      <w:pPr>
        <w:spacing w:after="240" w:line="360" w:lineRule="auto"/>
        <w:ind w:firstLine="720"/>
        <w:jc w:val="both"/>
        <w:rPr>
          <w:rFonts w:eastAsia="Calibri"/>
          <w:b/>
        </w:rPr>
      </w:pPr>
      <w:r w:rsidRPr="00D4651F">
        <w:rPr>
          <w:rFonts w:eastAsia="Calibri"/>
        </w:rPr>
        <w:t xml:space="preserve">The purpose of this Policy is to ensure that the </w:t>
      </w:r>
      <w:r w:rsidR="000A7507">
        <w:rPr>
          <w:rFonts w:eastAsia="Calibri"/>
        </w:rPr>
        <w:t>Port of Alsea</w:t>
      </w:r>
      <w:r>
        <w:t xml:space="preserve"> </w:t>
      </w:r>
      <w:r w:rsidRPr="00D4651F">
        <w:rPr>
          <w:rFonts w:eastAsia="Calibri"/>
        </w:rPr>
        <w:t>(the “</w:t>
      </w:r>
      <w:r w:rsidRPr="00D4651F">
        <w:rPr>
          <w:rFonts w:eastAsia="Calibri"/>
          <w:u w:val="single"/>
        </w:rPr>
        <w:t>Issuer</w:t>
      </w:r>
      <w:r w:rsidRPr="00D4651F">
        <w:rPr>
          <w:rFonts w:eastAsia="Calibri"/>
        </w:rPr>
        <w:t>”) complies with applicable requirements of federal tax and securities laws that apply to any tax-exempt obligations or other debt issued by the Issuer.  This Policy is designed to set forth compliance procedures so that the Issuer utilizes the proceeds of all issues of bonds, certificates of participation, bond anticipation notes, bank loans, and tax and revenue anticipation notes (collectively referred to as “</w:t>
      </w:r>
      <w:r w:rsidRPr="00D4651F">
        <w:rPr>
          <w:rFonts w:eastAsia="Calibri"/>
          <w:u w:val="single"/>
        </w:rPr>
        <w:t>Bonds</w:t>
      </w:r>
      <w:r w:rsidRPr="00D4651F">
        <w:rPr>
          <w:rFonts w:eastAsia="Calibri"/>
        </w:rPr>
        <w:t>”) in accordance with applicable federal tax and securities law requirements with respect to outstanding Bonds.</w:t>
      </w:r>
    </w:p>
    <w:p w:rsidR="002E6EDA" w:rsidRPr="00D4651F" w:rsidRDefault="002E6EDA" w:rsidP="002E6EDA">
      <w:pPr>
        <w:spacing w:after="240" w:line="360" w:lineRule="auto"/>
        <w:ind w:firstLine="720"/>
        <w:jc w:val="both"/>
        <w:rPr>
          <w:rFonts w:eastAsia="Calibri"/>
        </w:rPr>
      </w:pPr>
      <w:r w:rsidRPr="00D4651F">
        <w:rPr>
          <w:rFonts w:eastAsia="Calibri"/>
          <w:b/>
        </w:rPr>
        <w:t>The procedures described in II and III describe the federal tax laws and only apply to Bonds to the extent that they are issued as federally tax-exempt obligations.  Such procedures do not apply to Bonds issued as federally taxable obligations.</w:t>
      </w:r>
      <w:r w:rsidRPr="00D4651F">
        <w:rPr>
          <w:rFonts w:eastAsia="Calibri"/>
        </w:rPr>
        <w:t xml:space="preserve">  To comply with applicable federal tax requirements, the Issuer must confirm that the requirements are met at the time each Bond issue is issued and throughout the term of the Bonds (until maturity or redemption).  Generally, compliance should include retention of records relating to the expenditure of the proceeds of each Bond issue, the investment of the proceeds of each Bond issue, and any allocations made with respect to the use of the proceeds of each Bond issue, sufficient to establish compliance with applicable federal tax requirements, including records related to periods before the Bonds are issued (</w:t>
      </w:r>
      <w:r w:rsidRPr="00D4651F">
        <w:rPr>
          <w:rFonts w:eastAsia="Calibri"/>
          <w:i/>
        </w:rPr>
        <w:t>e.g</w:t>
      </w:r>
      <w:r w:rsidRPr="00D4651F">
        <w:rPr>
          <w:rFonts w:eastAsia="Calibri"/>
        </w:rPr>
        <w:t>., in the case of reimbursement of prior expenditures) until six (6) years after the final maturity or redemption date of any issue of Bonds.</w:t>
      </w:r>
    </w:p>
    <w:p w:rsidR="002E6EDA" w:rsidRPr="00D4651F" w:rsidRDefault="002E6EDA" w:rsidP="002E6EDA">
      <w:pPr>
        <w:spacing w:after="240" w:line="360" w:lineRule="auto"/>
        <w:ind w:firstLine="720"/>
        <w:jc w:val="both"/>
        <w:rPr>
          <w:rFonts w:eastAsia="Calibri"/>
        </w:rPr>
      </w:pPr>
      <w:r w:rsidRPr="00D4651F">
        <w:rPr>
          <w:rFonts w:eastAsia="Calibri"/>
          <w:b/>
        </w:rPr>
        <w:t>The procedures described in IV describe the federal securities laws and only apply to Bonds to the extent that there is a disclosure document prepared in connection with a public offering or private placement of the Bonds.  For example, they do not currently apply to bank loans or other debt for which an official statement or other disclosure document is not prepared.</w:t>
      </w:r>
      <w:r w:rsidRPr="00D4651F">
        <w:rPr>
          <w:rFonts w:eastAsia="Calibri"/>
        </w:rPr>
        <w:t xml:space="preserve">  To comply with applicable federal securities requirements, the Issuer must comply with the anti-fraud rules at the time of issuance and must maintain continuous compliance with its continuing disclosure obligations until the final maturity or redemption of the applicable issue or Bonds.</w:t>
      </w:r>
    </w:p>
    <w:p w:rsidR="002E6EDA" w:rsidRPr="00D4651F" w:rsidRDefault="002E6EDA" w:rsidP="002E6EDA">
      <w:pPr>
        <w:keepNext/>
        <w:keepLines/>
        <w:spacing w:after="120" w:line="360" w:lineRule="auto"/>
        <w:jc w:val="center"/>
        <w:rPr>
          <w:rFonts w:eastAsia="Calibri"/>
        </w:rPr>
      </w:pPr>
      <w:r w:rsidRPr="00D4651F">
        <w:rPr>
          <w:rFonts w:eastAsia="Calibri"/>
        </w:rPr>
        <w:lastRenderedPageBreak/>
        <w:t>II.</w:t>
      </w:r>
      <w:r w:rsidRPr="00D4651F">
        <w:rPr>
          <w:rFonts w:eastAsia="Calibri"/>
        </w:rPr>
        <w:br/>
      </w:r>
      <w:r w:rsidRPr="00D4651F">
        <w:rPr>
          <w:rFonts w:eastAsia="Calibri"/>
          <w:u w:val="single"/>
        </w:rPr>
        <w:t>FEDERAL TAX PROCEDURES</w:t>
      </w:r>
      <w:r w:rsidRPr="00D4651F">
        <w:rPr>
          <w:rFonts w:eastAsia="Calibri"/>
        </w:rPr>
        <w:t>.</w:t>
      </w:r>
    </w:p>
    <w:p w:rsidR="002E6EDA" w:rsidRPr="00D4651F" w:rsidRDefault="002E6EDA" w:rsidP="002E6EDA">
      <w:pPr>
        <w:keepNext/>
        <w:keepLines/>
        <w:spacing w:after="240" w:line="360" w:lineRule="auto"/>
        <w:ind w:firstLine="720"/>
        <w:jc w:val="both"/>
        <w:rPr>
          <w:rFonts w:eastAsia="Calibri"/>
          <w:b/>
        </w:rPr>
      </w:pPr>
      <w:r w:rsidRPr="00D4651F">
        <w:rPr>
          <w:rFonts w:eastAsia="Calibri"/>
        </w:rPr>
        <w:t>A.</w:t>
      </w:r>
      <w:r w:rsidRPr="00D4651F">
        <w:rPr>
          <w:rFonts w:eastAsia="Calibri"/>
        </w:rPr>
        <w:tab/>
      </w:r>
      <w:r w:rsidRPr="00D4651F">
        <w:rPr>
          <w:rFonts w:eastAsia="Calibri"/>
          <w:u w:val="single"/>
        </w:rPr>
        <w:t>Responsible Official</w:t>
      </w:r>
      <w:r w:rsidRPr="00D4651F">
        <w:rPr>
          <w:rFonts w:eastAsia="Calibri"/>
        </w:rPr>
        <w:t xml:space="preserve">.  The </w:t>
      </w:r>
      <w:r w:rsidR="007811E7">
        <w:rPr>
          <w:rFonts w:eastAsia="Calibri"/>
        </w:rPr>
        <w:t xml:space="preserve">Port Manager </w:t>
      </w:r>
      <w:r w:rsidRPr="00D4651F">
        <w:rPr>
          <w:rFonts w:eastAsia="Calibri"/>
        </w:rPr>
        <w:t>of the Issuer will identify the officer or other employee(s) of the Issuer (the “</w:t>
      </w:r>
      <w:r w:rsidRPr="00D4651F">
        <w:rPr>
          <w:rFonts w:eastAsia="Calibri"/>
          <w:u w:val="single"/>
        </w:rPr>
        <w:t>Bond Compliance Officer</w:t>
      </w:r>
      <w:r w:rsidRPr="00D4651F">
        <w:rPr>
          <w:rFonts w:eastAsia="Calibri"/>
        </w:rPr>
        <w:t xml:space="preserve">”) who will be responsible for each of the procedures listed below, notify the current holder of that office of the responsibilities, and provide that person a copy of these procedures.  Upon employee transitions, the </w:t>
      </w:r>
      <w:r w:rsidR="007811E7">
        <w:rPr>
          <w:rFonts w:eastAsia="Calibri"/>
        </w:rPr>
        <w:t xml:space="preserve">Port Manager </w:t>
      </w:r>
      <w:r w:rsidRPr="00D4651F">
        <w:rPr>
          <w:rFonts w:eastAsia="Calibri"/>
        </w:rPr>
        <w:t xml:space="preserve">of the Issuer will advise any newly-designated Bond Compliance Officer of his/her responsibilities under these procedures and will ensure the Bond Compliance Officer understands the importance of these procedures.  If employee positions are restructured or eliminated, the </w:t>
      </w:r>
      <w:r w:rsidR="007811E7">
        <w:rPr>
          <w:rFonts w:eastAsia="Calibri"/>
        </w:rPr>
        <w:t xml:space="preserve">Port Manager </w:t>
      </w:r>
      <w:r w:rsidRPr="00D4651F">
        <w:rPr>
          <w:rFonts w:eastAsia="Calibri"/>
        </w:rPr>
        <w:t>of the Issuer will reassign responsibilities as necessary.</w:t>
      </w:r>
    </w:p>
    <w:p w:rsidR="002E6EDA" w:rsidRPr="00D4651F" w:rsidRDefault="002E6EDA" w:rsidP="002E6EDA">
      <w:pPr>
        <w:keepNext/>
        <w:spacing w:after="240" w:line="360" w:lineRule="auto"/>
        <w:ind w:firstLine="720"/>
        <w:jc w:val="both"/>
        <w:rPr>
          <w:rFonts w:eastAsia="Calibri"/>
        </w:rPr>
      </w:pPr>
      <w:r w:rsidRPr="00D4651F">
        <w:rPr>
          <w:rFonts w:eastAsia="Calibri"/>
        </w:rPr>
        <w:t>B.</w:t>
      </w:r>
      <w:r w:rsidRPr="00D4651F">
        <w:rPr>
          <w:rFonts w:eastAsia="Calibri"/>
        </w:rPr>
        <w:tab/>
      </w:r>
      <w:r w:rsidRPr="00D4651F">
        <w:rPr>
          <w:rFonts w:eastAsia="Calibri"/>
          <w:u w:val="single"/>
        </w:rPr>
        <w:t>Issuance of Bonds</w:t>
      </w:r>
      <w:r w:rsidRPr="00D4651F">
        <w:rPr>
          <w:rFonts w:eastAsia="Calibri"/>
        </w:rPr>
        <w:t>.</w:t>
      </w:r>
    </w:p>
    <w:p w:rsidR="002E6EDA" w:rsidRPr="00D4651F" w:rsidRDefault="002E6EDA" w:rsidP="002E6EDA">
      <w:pPr>
        <w:spacing w:after="240" w:line="360" w:lineRule="auto"/>
        <w:ind w:firstLine="720"/>
        <w:jc w:val="both"/>
        <w:rPr>
          <w:rFonts w:eastAsia="Calibri"/>
        </w:rPr>
      </w:pPr>
      <w:r w:rsidRPr="00D4651F">
        <w:rPr>
          <w:rFonts w:eastAsia="Calibri"/>
          <w:i/>
          <w:u w:val="single"/>
        </w:rPr>
        <w:t>Bond Counsel</w:t>
      </w:r>
      <w:r w:rsidRPr="00D4651F">
        <w:rPr>
          <w:rFonts w:eastAsia="Calibri"/>
        </w:rPr>
        <w:t>.  The Issuer will retain a nationally-recognized bond counsel law firm (“</w:t>
      </w:r>
      <w:r w:rsidRPr="00D4651F">
        <w:rPr>
          <w:rFonts w:eastAsia="Calibri"/>
          <w:u w:val="single"/>
        </w:rPr>
        <w:t>Bond Counsel</w:t>
      </w:r>
      <w:r w:rsidRPr="00D4651F">
        <w:rPr>
          <w:rFonts w:eastAsia="Calibri"/>
        </w:rPr>
        <w:t>”) to assist the Issuer in issuing Bonds.  In connection with any tax-exempt Bond issue, Bond Counsel will deliver a legal opinion which will be based in part on covenants and representations set forth in the Issuer’s Tax Certificate (or other closing documents containing the tax representation) (the “</w:t>
      </w:r>
      <w:r w:rsidRPr="00D4651F">
        <w:rPr>
          <w:rFonts w:eastAsia="Calibri"/>
          <w:u w:val="single"/>
        </w:rPr>
        <w:t>Tax Certificate</w:t>
      </w:r>
      <w:r w:rsidRPr="00D4651F">
        <w:rPr>
          <w:rFonts w:eastAsia="Calibri"/>
        </w:rPr>
        <w:t xml:space="preserve">”) and other certificates relating to the Bonds, including covenants and representations concerning compliance with post-issuance federal tax law requirements that must be satisfied to preserve the tax-exempt status of tax-exempt Bonds.  As described more fully below, the Issuer will also consult with Bond Counsel and other legal counsel and advisors, as needed, following issuance of each Bond issue to ensure that applicable post-issuance requirements in fact are met, so that tax-exempt status of interest will be maintained for federal income tax purposes </w:t>
      </w:r>
      <w:r w:rsidRPr="00D4651F">
        <w:rPr>
          <w:rFonts w:eastAsia="Calibri"/>
          <w:u w:val="single"/>
        </w:rPr>
        <w:t>so long as any Bonds remain outstanding</w:t>
      </w:r>
      <w:r w:rsidRPr="00D4651F">
        <w:rPr>
          <w:rFonts w:eastAsia="Calibri"/>
        </w:rPr>
        <w:t>.</w:t>
      </w:r>
    </w:p>
    <w:p w:rsidR="002E6EDA" w:rsidRPr="00D4651F" w:rsidRDefault="002E6EDA" w:rsidP="002E6EDA">
      <w:pPr>
        <w:spacing w:after="240" w:line="360" w:lineRule="auto"/>
        <w:ind w:firstLine="720"/>
        <w:jc w:val="both"/>
        <w:rPr>
          <w:rFonts w:eastAsia="Calibri"/>
        </w:rPr>
      </w:pPr>
      <w:r w:rsidRPr="00D4651F">
        <w:rPr>
          <w:rFonts w:eastAsia="Calibri"/>
        </w:rPr>
        <w:t>The Bond Compliance Officer and/or other designated Issuer personnel will consult with Bond Counsel and other legal counsel and advisors, as needed, throughout the Bond issuance process to identify requirements and to establish procedures necessary or appropriate so that tax-exempt status of interest will be maintained.  Those requirements and procedures shall be documented in a Tax Certificate and other certificates and/or other documents finalized at or before issuance of the Bonds.  If there is no document in the transcript titled “Tax Certificate,” the Bond Compliance Officer and/or other designated Issuer personnel will consult with Bond Counsel prior to the closing of the financing to understand which document(s) in the transcript contain the tax representations and covenants. The requirements and procedures in the Tax Certificate shall include future compliance with applicable arbitrage rebate requirements and all other applicable post-issuance requirements of federal tax law throughout (and in some cases beyond) the term of the Bonds.</w:t>
      </w:r>
    </w:p>
    <w:p w:rsidR="002E6EDA" w:rsidRPr="00D4651F" w:rsidRDefault="002E6EDA" w:rsidP="002E6EDA">
      <w:pPr>
        <w:spacing w:after="240" w:line="360" w:lineRule="auto"/>
        <w:ind w:firstLine="720"/>
        <w:jc w:val="both"/>
        <w:rPr>
          <w:rFonts w:eastAsia="Calibri"/>
        </w:rPr>
      </w:pPr>
      <w:r w:rsidRPr="00D4651F">
        <w:rPr>
          <w:rFonts w:eastAsia="Calibri"/>
          <w:i/>
          <w:u w:val="single"/>
        </w:rPr>
        <w:lastRenderedPageBreak/>
        <w:t>Documentation of Tax Requirements</w:t>
      </w:r>
      <w:r w:rsidRPr="00D4651F">
        <w:rPr>
          <w:rFonts w:eastAsia="Calibri"/>
        </w:rPr>
        <w:t>.  The federal tax requirements relating to each Bond issue will be set forth in the Tax Certificate executed in connection with the Bond issue, which will be included in the closing transcript.  The certifications, representations, expectations, covenants and factual statements in the Tax Certificate relate primarily to the restriction</w:t>
      </w:r>
      <w:r w:rsidRPr="00D4651F">
        <w:rPr>
          <w:rFonts w:ascii="Bookman Old Style" w:eastAsia="Calibri" w:hAnsi="Bookman Old Style"/>
          <w:sz w:val="20"/>
        </w:rPr>
        <w:t xml:space="preserve"> </w:t>
      </w:r>
      <w:r w:rsidRPr="00D4651F">
        <w:rPr>
          <w:rFonts w:eastAsia="Calibri"/>
        </w:rPr>
        <w:t>on use of the Bond-financed facilities by persons or entities other than the Issuer, changes in use of assets financed or refinanced with Bond proceeds, restrictions applicable to the investment of Bond proceeds and other moneys relating to the Bonds, arbitrage rebate requirements, and economic life of the Bond-financed assets.</w:t>
      </w:r>
    </w:p>
    <w:p w:rsidR="002E6EDA" w:rsidRPr="00D4651F" w:rsidRDefault="002E6EDA" w:rsidP="002E6EDA">
      <w:pPr>
        <w:spacing w:after="240" w:line="360" w:lineRule="auto"/>
        <w:ind w:firstLine="720"/>
        <w:jc w:val="both"/>
        <w:rPr>
          <w:rFonts w:eastAsia="Calibri"/>
        </w:rPr>
      </w:pPr>
      <w:r w:rsidRPr="00D4651F">
        <w:rPr>
          <w:rFonts w:eastAsia="Calibri"/>
          <w:i/>
          <w:u w:val="single"/>
        </w:rPr>
        <w:t>Information Reporting</w:t>
      </w:r>
      <w:r w:rsidRPr="00D4651F">
        <w:rPr>
          <w:rFonts w:eastAsia="Calibri"/>
        </w:rPr>
        <w:t xml:space="preserve">.  </w:t>
      </w:r>
      <w:r w:rsidRPr="00D4651F">
        <w:rPr>
          <w:rFonts w:eastAsia="Calibri"/>
          <w:bCs/>
        </w:rPr>
        <w:t>The Bond Compliance Officer and/or other designated Issuer personnel will assure filing of information returns on IRS Form 8038-G no later than the 15</w:t>
      </w:r>
      <w:r w:rsidRPr="00D4651F">
        <w:rPr>
          <w:rFonts w:eastAsia="Calibri"/>
          <w:bCs/>
          <w:vertAlign w:val="superscript"/>
        </w:rPr>
        <w:t>th</w:t>
      </w:r>
      <w:r w:rsidRPr="00D4651F">
        <w:rPr>
          <w:rFonts w:eastAsia="Calibri"/>
          <w:bCs/>
        </w:rPr>
        <w:t xml:space="preserve"> day of the second calendar month in the calendar quarter following the calendar quarter in which an issue of Bonds is issued.  </w:t>
      </w:r>
      <w:r w:rsidRPr="00D4651F">
        <w:rPr>
          <w:rFonts w:eastAsia="Calibri"/>
        </w:rPr>
        <w:t xml:space="preserve">The Issuer will confirm </w:t>
      </w:r>
      <w:r w:rsidRPr="00D4651F">
        <w:rPr>
          <w:rFonts w:eastAsia="Calibri"/>
          <w:bCs/>
        </w:rPr>
        <w:t>that the IRS Form 8038-G is accurate and is filed in a timely manner with respect to all Bond issues, including any required schedules and attachments.  The IRS Form 8038-G filed with the IRS, together with an acknowledgement copy (if available) or IRS Notice CP152, will be included as part of the closing transcript for each Bond issue, or kept in the records related to the appropriate issue of Bonds.</w:t>
      </w:r>
    </w:p>
    <w:p w:rsidR="002E6EDA" w:rsidRPr="00D4651F" w:rsidRDefault="002E6EDA" w:rsidP="002E6EDA">
      <w:pPr>
        <w:spacing w:after="240" w:line="360" w:lineRule="auto"/>
        <w:ind w:firstLine="720"/>
        <w:jc w:val="both"/>
        <w:rPr>
          <w:rFonts w:eastAsia="Calibri"/>
        </w:rPr>
      </w:pPr>
      <w:r w:rsidRPr="00D4651F">
        <w:rPr>
          <w:rFonts w:eastAsia="Calibri"/>
        </w:rPr>
        <w:t>C.</w:t>
      </w:r>
      <w:r w:rsidRPr="00D4651F">
        <w:rPr>
          <w:rFonts w:eastAsia="Calibri"/>
        </w:rPr>
        <w:tab/>
      </w:r>
      <w:r w:rsidRPr="00D4651F">
        <w:rPr>
          <w:rFonts w:eastAsia="Calibri"/>
          <w:u w:val="single"/>
        </w:rPr>
        <w:t>Application of Bond Proceeds</w:t>
      </w:r>
      <w:r w:rsidRPr="00D4651F">
        <w:rPr>
          <w:rFonts w:eastAsia="Calibri"/>
        </w:rPr>
        <w:t>.</w:t>
      </w:r>
    </w:p>
    <w:p w:rsidR="002E6EDA" w:rsidRPr="00D4651F" w:rsidRDefault="002E6EDA" w:rsidP="002E6EDA">
      <w:pPr>
        <w:spacing w:after="240" w:line="360" w:lineRule="auto"/>
        <w:ind w:firstLine="720"/>
        <w:jc w:val="both"/>
        <w:rPr>
          <w:rFonts w:eastAsia="Calibri"/>
        </w:rPr>
      </w:pPr>
      <w:r w:rsidRPr="00D4651F">
        <w:rPr>
          <w:rFonts w:eastAsia="Calibri"/>
          <w:i/>
          <w:iCs/>
          <w:u w:val="single"/>
        </w:rPr>
        <w:t>Use of Bond Proceeds</w:t>
      </w:r>
      <w:r w:rsidRPr="00D4651F">
        <w:rPr>
          <w:rFonts w:eastAsia="Calibri"/>
          <w:i/>
          <w:iCs/>
        </w:rPr>
        <w:t xml:space="preserve">.  </w:t>
      </w:r>
      <w:r w:rsidRPr="00D4651F">
        <w:rPr>
          <w:rFonts w:eastAsia="Calibri"/>
        </w:rPr>
        <w:t>The Bond Compliance Officer and/or other designated Issuer personnel shall:</w:t>
      </w:r>
    </w:p>
    <w:p w:rsidR="002E6EDA" w:rsidRPr="00D4651F" w:rsidRDefault="002E6EDA" w:rsidP="002E6EDA">
      <w:pPr>
        <w:spacing w:after="240" w:line="360" w:lineRule="auto"/>
        <w:ind w:left="1440"/>
        <w:jc w:val="both"/>
        <w:rPr>
          <w:rFonts w:eastAsia="Calibri"/>
        </w:rPr>
      </w:pPr>
      <w:r w:rsidRPr="00D4651F">
        <w:rPr>
          <w:rFonts w:eastAsia="Calibri"/>
        </w:rPr>
        <w:t>*</w:t>
      </w:r>
      <w:r w:rsidRPr="00D4651F">
        <w:rPr>
          <w:rFonts w:eastAsia="Calibri"/>
        </w:rPr>
        <w:tab/>
        <w:t>monitor the use of Bond proceeds and the use of the Bond-financed assets (</w:t>
      </w:r>
      <w:r w:rsidRPr="00D4651F">
        <w:rPr>
          <w:rFonts w:eastAsia="Calibri"/>
          <w:i/>
        </w:rPr>
        <w:t>e.g</w:t>
      </w:r>
      <w:r w:rsidRPr="00D4651F">
        <w:rPr>
          <w:rFonts w:eastAsia="Calibri"/>
        </w:rPr>
        <w:t>., facilities, furnishings or equipment) throughout the term of the Bonds (and in some cases beyond the term of the Bonds) to ensure compliance with covenants and restrictions set forth in the applicable Tax Certificate;</w:t>
      </w:r>
    </w:p>
    <w:p w:rsidR="002E6EDA" w:rsidRPr="00D4651F" w:rsidRDefault="002E6EDA" w:rsidP="002E6EDA">
      <w:pPr>
        <w:spacing w:after="240" w:line="360" w:lineRule="auto"/>
        <w:ind w:left="1440"/>
        <w:jc w:val="both"/>
        <w:rPr>
          <w:rFonts w:eastAsia="Calibri"/>
        </w:rPr>
      </w:pPr>
      <w:r w:rsidRPr="00D4651F">
        <w:rPr>
          <w:rFonts w:eastAsia="Calibri"/>
        </w:rPr>
        <w:t>*</w:t>
      </w:r>
      <w:r w:rsidRPr="00D4651F">
        <w:rPr>
          <w:rFonts w:eastAsia="Calibri"/>
        </w:rPr>
        <w:tab/>
        <w:t>maintain records identifying the assets or portion of assets that were financed or refinanced with proceeds of each issue of Bonds;</w:t>
      </w:r>
    </w:p>
    <w:p w:rsidR="002E6EDA" w:rsidRPr="00D4651F" w:rsidRDefault="002E6EDA" w:rsidP="002E6EDA">
      <w:pPr>
        <w:spacing w:after="240" w:line="360" w:lineRule="auto"/>
        <w:ind w:left="1440"/>
        <w:jc w:val="both"/>
        <w:rPr>
          <w:rFonts w:eastAsia="Calibri"/>
        </w:rPr>
      </w:pPr>
      <w:r w:rsidRPr="00D4651F">
        <w:rPr>
          <w:rFonts w:eastAsia="Calibri"/>
        </w:rPr>
        <w:t>*</w:t>
      </w:r>
      <w:r w:rsidRPr="00D4651F">
        <w:rPr>
          <w:rFonts w:eastAsia="Calibri"/>
        </w:rPr>
        <w:tab/>
        <w:t>consult with Bond Counsel and other legal counsel as needed in the review of any contracts or arrangements involving use of Bond-financed facilities to ensure compliance with all covenants and restrictions set forth in the applicable Tax Certificate;</w:t>
      </w:r>
    </w:p>
    <w:p w:rsidR="002E6EDA" w:rsidRPr="00D4651F" w:rsidRDefault="002E6EDA" w:rsidP="002E6EDA">
      <w:pPr>
        <w:spacing w:after="240" w:line="360" w:lineRule="auto"/>
        <w:ind w:left="1440"/>
        <w:jc w:val="both"/>
        <w:rPr>
          <w:rFonts w:eastAsia="Calibri"/>
        </w:rPr>
      </w:pPr>
      <w:r w:rsidRPr="00D4651F">
        <w:rPr>
          <w:rFonts w:eastAsia="Calibri"/>
        </w:rPr>
        <w:t>*</w:t>
      </w:r>
      <w:r w:rsidRPr="00D4651F">
        <w:rPr>
          <w:rFonts w:eastAsia="Calibri"/>
        </w:rPr>
        <w:tab/>
        <w:t>maintain records for any contracts or arrangements involving the use of Bond-financed facilities as might be necessary or appropriate to document compliance with all covenants and restrictions set forth in the applicable Tax Certificate; and</w:t>
      </w:r>
    </w:p>
    <w:p w:rsidR="002E6EDA" w:rsidRPr="00D4651F" w:rsidRDefault="002E6EDA" w:rsidP="002E6EDA">
      <w:pPr>
        <w:spacing w:after="240" w:line="360" w:lineRule="auto"/>
        <w:ind w:left="1440"/>
        <w:jc w:val="both"/>
        <w:rPr>
          <w:rFonts w:eastAsia="Calibri"/>
        </w:rPr>
      </w:pPr>
      <w:r w:rsidRPr="00D4651F">
        <w:rPr>
          <w:rFonts w:eastAsia="Calibri"/>
        </w:rPr>
        <w:lastRenderedPageBreak/>
        <w:t>*</w:t>
      </w:r>
      <w:r w:rsidRPr="00D4651F">
        <w:rPr>
          <w:rFonts w:eastAsia="Calibri"/>
        </w:rPr>
        <w:tab/>
        <w:t>communicate as necessary and appropriate with personnel responsible for the Bond-financed assets to identify and discuss any existing or planned use of the Bond-financed assets, to ensure that those uses are consistent with all covenants and restrictions set forth in the applicable Tax Certificate.</w:t>
      </w:r>
    </w:p>
    <w:p w:rsidR="002E6EDA" w:rsidRPr="00D4651F" w:rsidRDefault="002E6EDA" w:rsidP="002E6EDA">
      <w:pPr>
        <w:spacing w:after="240" w:line="360" w:lineRule="auto"/>
        <w:ind w:firstLine="720"/>
        <w:jc w:val="both"/>
        <w:rPr>
          <w:rFonts w:eastAsia="Calibri"/>
        </w:rPr>
      </w:pPr>
      <w:r w:rsidRPr="00D4651F">
        <w:rPr>
          <w:rFonts w:eastAsia="Calibri"/>
          <w:i/>
          <w:u w:val="single"/>
        </w:rPr>
        <w:t>Timely Expenditure of Bond Proceeds</w:t>
      </w:r>
      <w:r w:rsidRPr="00D4651F">
        <w:rPr>
          <w:rFonts w:eastAsia="Calibri"/>
          <w:iCs/>
        </w:rPr>
        <w:t xml:space="preserve">.  </w:t>
      </w:r>
      <w:r w:rsidRPr="00D4651F">
        <w:rPr>
          <w:rFonts w:eastAsia="Calibri"/>
        </w:rPr>
        <w:t>At the time of issuance of any Bonds issued to fund original expenditures, the Issuer must reasonably expect to spend at least 85% of all proceeds expected to be used to finance such expenditures (which proceeds would exclude proceeds in a reasonably required reserve fund) within three (3) years after issuance of such Bonds.</w:t>
      </w:r>
      <w:r w:rsidRPr="00D4651F">
        <w:rPr>
          <w:rFonts w:eastAsia="Calibri"/>
          <w:vertAlign w:val="superscript"/>
        </w:rPr>
        <w:footnoteReference w:id="1"/>
      </w:r>
      <w:r w:rsidRPr="00D4651F">
        <w:rPr>
          <w:rFonts w:eastAsia="Calibri"/>
        </w:rPr>
        <w:t xml:space="preserve">  In addition, for such Bonds, the Issuer must have incurred or expect to incur within six months after issuance original expenditures of not less than 5% of such amount of proceeds, and must expect to complete the Bond-financed project (the “</w:t>
      </w:r>
      <w:r w:rsidRPr="00D4651F">
        <w:rPr>
          <w:rFonts w:eastAsia="Calibri"/>
          <w:u w:val="single"/>
        </w:rPr>
        <w:t>Project</w:t>
      </w:r>
      <w:r w:rsidRPr="00D4651F">
        <w:rPr>
          <w:rFonts w:eastAsia="Calibri"/>
        </w:rPr>
        <w:t>”) and allocate Bond proceeds to costs with due diligence.</w:t>
      </w:r>
      <w:r w:rsidRPr="00D4651F">
        <w:rPr>
          <w:rFonts w:eastAsia="Calibri"/>
          <w:vertAlign w:val="superscript"/>
        </w:rPr>
        <w:footnoteReference w:id="2"/>
      </w:r>
      <w:r w:rsidRPr="00D4651F">
        <w:rPr>
          <w:rFonts w:eastAsia="Calibri"/>
        </w:rPr>
        <w:t xml:space="preserve">  Satisfaction of these requirements allows Project-related Bond proceeds to be invested at an unrestricted yield for three (3) years.</w:t>
      </w:r>
      <w:r w:rsidRPr="00D4651F">
        <w:rPr>
          <w:rFonts w:eastAsia="Calibri"/>
          <w:vertAlign w:val="superscript"/>
        </w:rPr>
        <w:footnoteReference w:id="3"/>
      </w:r>
      <w:r w:rsidRPr="00D4651F">
        <w:rPr>
          <w:rFonts w:eastAsia="Calibri"/>
        </w:rPr>
        <w:t xml:space="preserve">  Bonds issued to refinance outstanding obligations are subject to separate expenditure requirements, which shall be outlined in the Tax Certificate relating to such Bonds.  The Issuer’s finance staff will monitor the appropriate capital project accounts (and, to the extent applicable, working capital expenditures and/or refunding escrow accounts) and ensure that Bond proceeds are spent within the applicable time period(s) required under federal tax law.</w:t>
      </w:r>
    </w:p>
    <w:p w:rsidR="002E6EDA" w:rsidRPr="00D4651F" w:rsidRDefault="002E6EDA" w:rsidP="002E6EDA">
      <w:pPr>
        <w:spacing w:after="240" w:line="360" w:lineRule="auto"/>
        <w:ind w:firstLine="720"/>
        <w:jc w:val="both"/>
        <w:rPr>
          <w:rFonts w:eastAsia="Calibri"/>
        </w:rPr>
      </w:pPr>
      <w:r w:rsidRPr="00D4651F">
        <w:rPr>
          <w:rFonts w:eastAsia="Calibri"/>
          <w:i/>
          <w:iCs/>
          <w:u w:val="single"/>
        </w:rPr>
        <w:t>Capital Expenditures</w:t>
      </w:r>
      <w:r w:rsidRPr="00D4651F">
        <w:rPr>
          <w:rFonts w:eastAsia="Calibri"/>
          <w:i/>
          <w:iCs/>
        </w:rPr>
        <w:t>.</w:t>
      </w:r>
      <w:r w:rsidRPr="00D4651F">
        <w:rPr>
          <w:rFonts w:eastAsia="Calibri"/>
          <w:iCs/>
        </w:rPr>
        <w:t xml:space="preserve">  In general, </w:t>
      </w:r>
      <w:r w:rsidRPr="00D4651F">
        <w:rPr>
          <w:rFonts w:eastAsia="Calibri"/>
        </w:rPr>
        <w:t>proceeds (including earnings on original sale proceeds) of Bonds issued to fund original expenditures, other than proceeds deposited in a reasonably required reserve fund or used to pay costs of issuance, should be spent on capital expenditures.</w:t>
      </w:r>
      <w:r w:rsidRPr="00D4651F">
        <w:rPr>
          <w:rFonts w:eastAsia="Calibri"/>
          <w:vertAlign w:val="superscript"/>
        </w:rPr>
        <w:footnoteReference w:id="4"/>
      </w:r>
      <w:r w:rsidRPr="00D4651F">
        <w:rPr>
          <w:rFonts w:eastAsia="Calibri"/>
        </w:rPr>
        <w:t xml:space="preserve">  For this purpose, capital expenditures generally mean costs to acquire, construct, or improve property (land, buildings and equipment), or to adapt the property to a new or different use.  The property financed or refinanced must have a useful life longer than one (1) year.  Capital Expenditures include design and planning costs related to the Project, and include architectural, engineering, surveying, soil testing, environmental, and other similar costs incurred in the process of acquiring, constructing, improving or adapting the property.  Capital Expenditures do not include operating expenses of the Project or incidental or routine repair or </w:t>
      </w:r>
      <w:r w:rsidRPr="00D4651F">
        <w:rPr>
          <w:rFonts w:eastAsia="Calibri"/>
        </w:rPr>
        <w:lastRenderedPageBreak/>
        <w:t>maintenance of the Project, even if the repair or maintenance will have a useful life longer than one (1) year.</w:t>
      </w:r>
    </w:p>
    <w:p w:rsidR="002E6EDA" w:rsidRPr="00D4651F" w:rsidRDefault="002E6EDA" w:rsidP="002E6EDA">
      <w:pPr>
        <w:keepNext/>
        <w:spacing w:after="240" w:line="360" w:lineRule="auto"/>
        <w:ind w:firstLine="720"/>
        <w:jc w:val="both"/>
        <w:rPr>
          <w:rFonts w:eastAsia="Calibri"/>
        </w:rPr>
      </w:pPr>
      <w:r w:rsidRPr="00D4651F">
        <w:rPr>
          <w:rFonts w:eastAsia="Calibri"/>
        </w:rPr>
        <w:t>D.</w:t>
      </w:r>
      <w:r w:rsidRPr="00D4651F">
        <w:rPr>
          <w:rFonts w:eastAsia="Calibri"/>
        </w:rPr>
        <w:tab/>
      </w:r>
      <w:r w:rsidRPr="00D4651F">
        <w:rPr>
          <w:rFonts w:eastAsia="Calibri"/>
          <w:u w:val="single"/>
        </w:rPr>
        <w:t>Use of Bond-Financed Assets</w:t>
      </w:r>
      <w:r w:rsidRPr="00D4651F">
        <w:rPr>
          <w:rFonts w:eastAsia="Calibri"/>
        </w:rPr>
        <w:t>.</w:t>
      </w:r>
    </w:p>
    <w:p w:rsidR="002E6EDA" w:rsidRPr="00D4651F" w:rsidRDefault="002E6EDA" w:rsidP="002E6EDA">
      <w:pPr>
        <w:spacing w:after="240" w:line="360" w:lineRule="auto"/>
        <w:ind w:firstLine="720"/>
        <w:jc w:val="both"/>
        <w:rPr>
          <w:rFonts w:eastAsia="Calibri"/>
        </w:rPr>
      </w:pPr>
      <w:r w:rsidRPr="00D4651F">
        <w:rPr>
          <w:rFonts w:eastAsia="Calibri"/>
          <w:i/>
          <w:u w:val="single"/>
        </w:rPr>
        <w:t>Ownership and Use of Project</w:t>
      </w:r>
      <w:r w:rsidRPr="00D4651F">
        <w:rPr>
          <w:rFonts w:eastAsia="Calibri"/>
        </w:rPr>
        <w:t>.  For the life of a Bond issue, the Project must be owned and operated by the Issuer (or another state or local governmental entity).  At all times while the Bond issue is outstanding, no more than 10% (or $15,000,000, if less) of the Bond proceeds or the Project may used, directly or indirectly, in a trade or business carried on by a person other than a state or local governmental unit (“</w:t>
      </w:r>
      <w:r w:rsidRPr="00D4651F">
        <w:rPr>
          <w:rFonts w:eastAsia="Calibri"/>
          <w:u w:val="single"/>
        </w:rPr>
        <w:t>Private Use</w:t>
      </w:r>
      <w:r w:rsidRPr="00D4651F">
        <w:rPr>
          <w:rFonts w:eastAsia="Calibri"/>
        </w:rPr>
        <w:t>”).</w:t>
      </w:r>
      <w:r w:rsidRPr="00D4651F">
        <w:rPr>
          <w:rFonts w:eastAsia="Calibri"/>
          <w:vertAlign w:val="superscript"/>
        </w:rPr>
        <w:footnoteReference w:id="5"/>
      </w:r>
      <w:r w:rsidRPr="00D4651F">
        <w:rPr>
          <w:rFonts w:eastAsia="Calibri"/>
        </w:rPr>
        <w:t xml:space="preserve">  In addition, not more than 5% (or $5 million, if less) of the proceeds of any Bond issue may be used, directly or indirectly, to make a loan to any person other than governmental persons.  Generally, Private Use consists of any contract or other arrangement, including leases, management contracts, operating agreements, guarantee contracts, take or pay contracts, output contracts or research contracts, which provides for use by a person who is not a state or local government on a basis different than the general public.  The Project may be used by any person or entity, including any person or entity carrying on any trade or business, if such use constitutes “General Public Use”.  General Public Use is any arrangement providing for use that is available to the general public at either no charge or on the basis of rates that are generally applicable and uniformly applied.</w:t>
      </w:r>
    </w:p>
    <w:p w:rsidR="002E6EDA" w:rsidRPr="00D4651F" w:rsidRDefault="002E6EDA" w:rsidP="002E6EDA">
      <w:pPr>
        <w:spacing w:after="240" w:line="360" w:lineRule="auto"/>
        <w:ind w:firstLine="720"/>
        <w:jc w:val="both"/>
        <w:rPr>
          <w:rFonts w:eastAsia="Calibri"/>
        </w:rPr>
      </w:pPr>
      <w:r w:rsidRPr="00D4651F">
        <w:rPr>
          <w:rFonts w:eastAsia="Calibri"/>
          <w:i/>
          <w:u w:val="single"/>
        </w:rPr>
        <w:t>Management or Operating Agreements</w:t>
      </w:r>
      <w:r w:rsidRPr="00D4651F">
        <w:rPr>
          <w:rFonts w:eastAsia="Calibri"/>
        </w:rPr>
        <w:t>.  Any management, operating or service contracts whereby a non-exempt entity is using assets financed or refinanced with Bond proceeds (such as bookstore, cafeteria or dining facility, externally-managed parking facilities, gift shops, etc.) must relate to portions of the Project that fit within the allowable private use limitations or the contracts must meet the IRS safe harbor for management contracts.  Any replacements of or changes to such contracts relating to Bond-financed assets or facilities, or leases of such assets or facilities, should be reviewed by Bond Counsel.  The Bond Compliance Officer shall contact Bond Counsel if there may be a lease, sale, disposition or other change in use of assets financed or refinanced with Bond proceeds.</w:t>
      </w:r>
    </w:p>
    <w:p w:rsidR="002E6EDA" w:rsidRPr="00D4651F" w:rsidRDefault="002E6EDA" w:rsidP="002E6EDA">
      <w:pPr>
        <w:spacing w:after="240" w:line="360" w:lineRule="auto"/>
        <w:ind w:firstLine="720"/>
        <w:jc w:val="both"/>
        <w:rPr>
          <w:rFonts w:eastAsia="Calibri"/>
        </w:rPr>
      </w:pPr>
      <w:r w:rsidRPr="00D4651F">
        <w:rPr>
          <w:rFonts w:eastAsia="Calibri"/>
          <w:i/>
          <w:u w:val="single"/>
        </w:rPr>
        <w:t>Useful Life Limitation</w:t>
      </w:r>
      <w:r w:rsidRPr="00D4651F">
        <w:rPr>
          <w:rFonts w:eastAsia="Calibri"/>
        </w:rPr>
        <w:t>.  The weighted average maturity of the Bond issue cannot exceed 120% of the weighted average economic life of the Bond-financed assets.  In other words, the weighted average economic life of the Project must be at least 80% of the weighted average maturity of the Bond issue.  Additional state law limitations may apply as well.</w:t>
      </w:r>
    </w:p>
    <w:p w:rsidR="002E6EDA" w:rsidRPr="00D4651F" w:rsidRDefault="002E6EDA" w:rsidP="002E6EDA">
      <w:pPr>
        <w:keepNext/>
        <w:spacing w:after="240" w:line="360" w:lineRule="auto"/>
        <w:ind w:firstLine="720"/>
        <w:jc w:val="both"/>
        <w:rPr>
          <w:rFonts w:eastAsia="Calibri"/>
        </w:rPr>
      </w:pPr>
      <w:r>
        <w:rPr>
          <w:rFonts w:eastAsia="Calibri"/>
        </w:rPr>
        <w:lastRenderedPageBreak/>
        <w:t>E</w:t>
      </w:r>
      <w:r w:rsidRPr="00D4651F">
        <w:rPr>
          <w:rFonts w:eastAsia="Calibri"/>
        </w:rPr>
        <w:t>.</w:t>
      </w:r>
      <w:r w:rsidRPr="00D4651F">
        <w:rPr>
          <w:rFonts w:eastAsia="Calibri"/>
        </w:rPr>
        <w:tab/>
      </w:r>
      <w:r w:rsidRPr="00D4651F">
        <w:rPr>
          <w:rFonts w:eastAsia="Calibri"/>
          <w:u w:val="single"/>
        </w:rPr>
        <w:t>Investment Restrictions; Arbitrage Yield Calculations; Rebate</w:t>
      </w:r>
      <w:r w:rsidRPr="00D4651F">
        <w:rPr>
          <w:rFonts w:eastAsia="Calibri"/>
        </w:rPr>
        <w:t>.</w:t>
      </w:r>
    </w:p>
    <w:p w:rsidR="002E6EDA" w:rsidRPr="00D4651F" w:rsidRDefault="002E6EDA" w:rsidP="002E6EDA">
      <w:pPr>
        <w:spacing w:after="240" w:line="360" w:lineRule="auto"/>
        <w:ind w:firstLine="720"/>
        <w:jc w:val="both"/>
        <w:rPr>
          <w:rFonts w:eastAsia="Calibri"/>
        </w:rPr>
      </w:pPr>
      <w:r w:rsidRPr="00D4651F">
        <w:rPr>
          <w:rFonts w:eastAsia="Calibri"/>
          <w:i/>
          <w:u w:val="single"/>
        </w:rPr>
        <w:t>Investment Restrictions</w:t>
      </w:r>
      <w:r w:rsidRPr="00D4651F">
        <w:rPr>
          <w:rFonts w:eastAsia="Calibri"/>
        </w:rPr>
        <w:t>.  Investment restrictions relating to Bond proceeds and other moneys relating to the Bonds are set forth in the Tax Certificate.  The Issuer’s finance staff will monitor the investment of Bond proceeds to ensure compliance with applicable yield restriction rules.</w:t>
      </w:r>
    </w:p>
    <w:p w:rsidR="002E6EDA" w:rsidRPr="00D4651F" w:rsidRDefault="002E6EDA" w:rsidP="002E6EDA">
      <w:pPr>
        <w:spacing w:after="240" w:line="360" w:lineRule="auto"/>
        <w:ind w:firstLine="720"/>
        <w:jc w:val="both"/>
        <w:rPr>
          <w:rFonts w:eastAsia="Calibri"/>
        </w:rPr>
      </w:pPr>
      <w:r w:rsidRPr="00D4651F">
        <w:rPr>
          <w:rFonts w:eastAsia="Calibri"/>
          <w:i/>
          <w:iCs/>
          <w:u w:val="single"/>
        </w:rPr>
        <w:t>Use and Control of Bond Proceeds</w:t>
      </w:r>
      <w:r w:rsidRPr="00D4651F">
        <w:rPr>
          <w:rFonts w:eastAsia="Calibri"/>
          <w:iCs/>
        </w:rPr>
        <w:t>.  U</w:t>
      </w:r>
      <w:r w:rsidRPr="00D4651F">
        <w:rPr>
          <w:rFonts w:eastAsia="Calibri"/>
        </w:rPr>
        <w:t>nexpended Bond proceeds (including reserves) may be held directly by the Issuer or by the trustee for the Bond issue under an indenture or trust agreement.  The investment of Bond proceeds shall be managed by the Issuer.  The Issuer shall maintain appropriate records regarding investments and transactions involving Bond proceeds.  The trustee, if appropriate, shall provide regular statements to the Issuer regarding investments and transactions involving Bond proceeds.</w:t>
      </w:r>
    </w:p>
    <w:p w:rsidR="002E6EDA" w:rsidRPr="00D4651F" w:rsidRDefault="002E6EDA" w:rsidP="002E6EDA">
      <w:pPr>
        <w:spacing w:after="240" w:line="360" w:lineRule="auto"/>
        <w:ind w:firstLine="720"/>
        <w:jc w:val="both"/>
        <w:rPr>
          <w:rFonts w:eastAsia="Calibri"/>
        </w:rPr>
      </w:pPr>
      <w:r w:rsidRPr="00D4651F">
        <w:rPr>
          <w:rFonts w:eastAsia="Calibri"/>
          <w:i/>
          <w:u w:val="single"/>
        </w:rPr>
        <w:t>Arbitrage Yield Calculations</w:t>
      </w:r>
      <w:r w:rsidRPr="00D4651F">
        <w:rPr>
          <w:rFonts w:eastAsia="Calibri"/>
        </w:rPr>
        <w:t>.  Investment earnings on Bond proceeds should be tracked and monitored to comply with applicable yield restrictions and/or rebate requirements.  Any funds of the Issuer set aside or otherwise pledged or earmarked to pay debt service on Bonds should be analyzed to assure compliance with the tax law rules on arbitrage, invested sinking funds, and pledged funds (including gifts or donations linked or earmarked to the Bond-financed assets.</w:t>
      </w:r>
    </w:p>
    <w:p w:rsidR="002E6EDA" w:rsidRPr="00D4651F" w:rsidRDefault="002E6EDA" w:rsidP="002E6EDA">
      <w:pPr>
        <w:spacing w:after="240" w:line="360" w:lineRule="auto"/>
        <w:ind w:firstLine="720"/>
        <w:jc w:val="both"/>
        <w:rPr>
          <w:rFonts w:eastAsia="Calibri"/>
        </w:rPr>
      </w:pPr>
      <w:r w:rsidRPr="00D4651F">
        <w:rPr>
          <w:rFonts w:eastAsia="Calibri"/>
          <w:i/>
          <w:u w:val="single"/>
        </w:rPr>
        <w:t>Rebate</w:t>
      </w:r>
      <w:r w:rsidRPr="00D4651F">
        <w:rPr>
          <w:rFonts w:eastAsia="Calibri"/>
        </w:rPr>
        <w:t>.  The Issuer is responsible for calculating (or causing the calculation of) rebate liability for each Bond issue, and for making any required rebate payments.  Unless Bond Counsel has advised the Issuer that the Bonds are exempt from the rebate requirements described in this section, the Issuer will retain an arbitrage rebate consultant to perform rebate calculations that may be required to be made from time to time with respect to any Bond issue.  The Issuer is responsible for providing the arbitrage rebate consultant with requested documents and information on a prompt basis, reviewing applicable rebate reports and other calculations and generally interacting with the arbitrage rebate consultant to ensure the timely preparation of rebate reports and payment of any rebate.</w:t>
      </w:r>
    </w:p>
    <w:p w:rsidR="002E6EDA" w:rsidRPr="00D4651F" w:rsidRDefault="002E6EDA" w:rsidP="002E6EDA">
      <w:pPr>
        <w:spacing w:after="240" w:line="360" w:lineRule="auto"/>
        <w:ind w:firstLine="720"/>
        <w:jc w:val="both"/>
        <w:rPr>
          <w:rFonts w:eastAsia="Calibri"/>
        </w:rPr>
      </w:pPr>
      <w:r w:rsidRPr="00D4651F">
        <w:rPr>
          <w:rFonts w:eastAsia="Calibri"/>
        </w:rPr>
        <w:t>The reports and calculations provided by the arbitrage rebate consultant are intended to assure compliance with rebate requirements, which require the Issuer to make rebate payments, if any, no later than the fifth (5</w:t>
      </w:r>
      <w:r w:rsidRPr="00D4651F">
        <w:rPr>
          <w:rFonts w:eastAsia="Calibri"/>
          <w:vertAlign w:val="superscript"/>
        </w:rPr>
        <w:t>th</w:t>
      </w:r>
      <w:r w:rsidRPr="00D4651F">
        <w:rPr>
          <w:rFonts w:eastAsia="Calibri"/>
        </w:rPr>
        <w:t>) anniversary date and each fifth (5</w:t>
      </w:r>
      <w:r w:rsidRPr="00D4651F">
        <w:rPr>
          <w:rFonts w:eastAsia="Calibri"/>
          <w:vertAlign w:val="superscript"/>
        </w:rPr>
        <w:t>th</w:t>
      </w:r>
      <w:r w:rsidRPr="00D4651F">
        <w:rPr>
          <w:rFonts w:eastAsia="Calibri"/>
        </w:rPr>
        <w:t>) anniversary date thereafter through the final maturity or redemption date of a Bond issue.  A final rebate payment must be made within sixty (60) days of the final maturity or redemption date of a Bond issue.</w:t>
      </w:r>
    </w:p>
    <w:p w:rsidR="002E6EDA" w:rsidRPr="00D4651F" w:rsidRDefault="002E6EDA" w:rsidP="002E6EDA">
      <w:pPr>
        <w:spacing w:after="240" w:line="360" w:lineRule="auto"/>
        <w:ind w:firstLine="720"/>
        <w:jc w:val="both"/>
        <w:rPr>
          <w:rFonts w:eastAsia="Calibri"/>
        </w:rPr>
      </w:pPr>
      <w:r w:rsidRPr="00D4651F">
        <w:rPr>
          <w:rFonts w:eastAsia="Calibri"/>
        </w:rPr>
        <w:t xml:space="preserve">The Issuer will confer and consult with the arbitrage rebate consultant to determine whether any rebate spending exceptions may be met.  Rebate spending exceptions are available for periods of 6 </w:t>
      </w:r>
      <w:r w:rsidRPr="00D4651F">
        <w:rPr>
          <w:rFonts w:eastAsia="Calibri"/>
        </w:rPr>
        <w:lastRenderedPageBreak/>
        <w:t>months, 18 months and 2 years.  The Issuer will review the Tax Certificate and/or consult with the arbitrage rebate consultant or Bond Counsel for more details regarding the rebate spending exceptions.</w:t>
      </w:r>
    </w:p>
    <w:p w:rsidR="002E6EDA" w:rsidRPr="00D4651F" w:rsidRDefault="002E6EDA" w:rsidP="002E6EDA">
      <w:pPr>
        <w:spacing w:after="240" w:line="360" w:lineRule="auto"/>
        <w:ind w:firstLine="720"/>
        <w:jc w:val="both"/>
        <w:rPr>
          <w:rFonts w:eastAsia="Calibri"/>
        </w:rPr>
      </w:pPr>
      <w:r w:rsidRPr="00D4651F">
        <w:rPr>
          <w:rFonts w:eastAsia="Calibri"/>
        </w:rPr>
        <w:t>In the case of short-term working capital financings, such as tax and revenue anticipation notes, if there is concern as to whether or not the Issuer has met its requisite maximum cumulative cash flow deficit with respect to its short-term working capital notes, the services of a rebate analyst should be engaged to determine whether either the six-month spending exception or the statutory safe harbor exception to the rebate rules is met (in which case no rebate would be owed) or whether the proceeds of the notes are subject, in whole or in part, to rebate.</w:t>
      </w:r>
    </w:p>
    <w:p w:rsidR="002E6EDA" w:rsidRPr="00D4651F" w:rsidRDefault="002E6EDA" w:rsidP="002E6EDA">
      <w:pPr>
        <w:spacing w:after="240" w:line="360" w:lineRule="auto"/>
        <w:ind w:firstLine="720"/>
        <w:jc w:val="both"/>
        <w:rPr>
          <w:rFonts w:eastAsia="Calibri"/>
        </w:rPr>
      </w:pPr>
      <w:r w:rsidRPr="00D4651F">
        <w:rPr>
          <w:rFonts w:eastAsia="Calibri"/>
        </w:rPr>
        <w:t>Copies of all arbitrage rebate reports, related return filings with the IRS (</w:t>
      </w:r>
      <w:r w:rsidRPr="00D4651F">
        <w:rPr>
          <w:rFonts w:eastAsia="Calibri"/>
          <w:i/>
        </w:rPr>
        <w:t>i.e.</w:t>
      </w:r>
      <w:r w:rsidRPr="00D4651F">
        <w:rPr>
          <w:rFonts w:eastAsia="Calibri"/>
        </w:rPr>
        <w:t>, IRS Form 8038-T), copies of cancelled checks with respect to any rebate payments, and information statements must be retained as described below.  The responsible official of the Issuer described in Subsection A of this Part II will follow the procedures set forth in the Tax Certificate entered into with respect to any Bond issue that relate to compliance with the rebate requirements.</w:t>
      </w:r>
    </w:p>
    <w:p w:rsidR="002E6EDA" w:rsidRPr="00D4651F" w:rsidRDefault="002E6EDA" w:rsidP="002E6EDA">
      <w:pPr>
        <w:keepNext/>
        <w:spacing w:after="240" w:line="360" w:lineRule="auto"/>
        <w:ind w:firstLine="720"/>
        <w:jc w:val="both"/>
        <w:rPr>
          <w:rFonts w:eastAsia="Calibri"/>
          <w:u w:val="single"/>
        </w:rPr>
      </w:pPr>
      <w:r w:rsidRPr="00D4651F">
        <w:rPr>
          <w:rFonts w:eastAsia="Calibri"/>
        </w:rPr>
        <w:t>F.</w:t>
      </w:r>
      <w:r w:rsidRPr="00D4651F">
        <w:rPr>
          <w:rFonts w:eastAsia="Calibri"/>
        </w:rPr>
        <w:tab/>
      </w:r>
      <w:r w:rsidRPr="00D4651F">
        <w:rPr>
          <w:rFonts w:eastAsia="Calibri"/>
          <w:u w:val="single"/>
        </w:rPr>
        <w:t>Record Retention</w:t>
      </w:r>
      <w:r w:rsidRPr="00D4651F">
        <w:rPr>
          <w:rFonts w:eastAsia="Calibri"/>
        </w:rPr>
        <w:t>.</w:t>
      </w:r>
    </w:p>
    <w:p w:rsidR="002E6EDA" w:rsidRPr="00D4651F" w:rsidRDefault="002E6EDA" w:rsidP="002E6EDA">
      <w:pPr>
        <w:spacing w:after="240" w:line="360" w:lineRule="auto"/>
        <w:ind w:firstLine="720"/>
        <w:jc w:val="both"/>
        <w:rPr>
          <w:rFonts w:eastAsia="Calibri"/>
        </w:rPr>
      </w:pPr>
      <w:r w:rsidRPr="00D4651F">
        <w:rPr>
          <w:rFonts w:eastAsia="Calibri"/>
          <w:i/>
          <w:u w:val="single"/>
        </w:rPr>
        <w:t>Allocation of Bond Proceeds to Expenditures</w:t>
      </w:r>
      <w:r w:rsidRPr="00D4651F">
        <w:rPr>
          <w:rFonts w:eastAsia="Calibri"/>
        </w:rPr>
        <w:t>.  The Issuer shall allocate Bond proceeds to expenditures for assets, and shall trace and keep track of the use of Bond proceeds and property financed or refinanced therewith.</w:t>
      </w:r>
    </w:p>
    <w:p w:rsidR="002E6EDA" w:rsidRPr="00D4651F" w:rsidRDefault="002E6EDA" w:rsidP="002E6EDA">
      <w:pPr>
        <w:spacing w:after="240" w:line="360" w:lineRule="auto"/>
        <w:ind w:firstLine="720"/>
        <w:jc w:val="both"/>
        <w:rPr>
          <w:rFonts w:eastAsia="Calibri"/>
        </w:rPr>
      </w:pPr>
      <w:r w:rsidRPr="00D4651F">
        <w:rPr>
          <w:rFonts w:eastAsia="Calibri"/>
          <w:i/>
          <w:u w:val="single"/>
        </w:rPr>
        <w:t>Record Keeping Requirements</w:t>
      </w:r>
      <w:r w:rsidRPr="00D4651F">
        <w:rPr>
          <w:rFonts w:eastAsia="Calibri"/>
        </w:rPr>
        <w:t>.  Copies of all relevant documents and records sufficient to support an assertion that the tax requirements relating to a Bond issue have been satisfied will be maintained by the Issuer for the term of a Bond issue (including refunding Bonds, if any) plus six (6) years, including the following documents and records:</w:t>
      </w:r>
    </w:p>
    <w:p w:rsidR="002E6EDA" w:rsidRPr="00D4651F" w:rsidRDefault="002E6EDA" w:rsidP="002E6EDA">
      <w:pPr>
        <w:numPr>
          <w:ilvl w:val="0"/>
          <w:numId w:val="17"/>
        </w:numPr>
        <w:spacing w:after="120" w:line="360" w:lineRule="auto"/>
        <w:jc w:val="both"/>
        <w:rPr>
          <w:rFonts w:eastAsia="Calibri"/>
        </w:rPr>
      </w:pPr>
      <w:r w:rsidRPr="00D4651F">
        <w:rPr>
          <w:rFonts w:eastAsia="Calibri"/>
        </w:rPr>
        <w:t>Bond closing transcripts;</w:t>
      </w:r>
    </w:p>
    <w:p w:rsidR="002E6EDA" w:rsidRPr="00D4651F" w:rsidRDefault="002E6EDA" w:rsidP="002E6EDA">
      <w:pPr>
        <w:numPr>
          <w:ilvl w:val="0"/>
          <w:numId w:val="17"/>
        </w:numPr>
        <w:spacing w:after="120" w:line="360" w:lineRule="auto"/>
        <w:jc w:val="both"/>
        <w:rPr>
          <w:rFonts w:eastAsia="Calibri"/>
        </w:rPr>
      </w:pPr>
      <w:r w:rsidRPr="00D4651F">
        <w:rPr>
          <w:rFonts w:eastAsia="Calibri"/>
          <w:bCs/>
        </w:rPr>
        <w:t>Copies of records of investments, investment agreements, credit enhancement transactions, financial derivatives (</w:t>
      </w:r>
      <w:r w:rsidRPr="00D4651F">
        <w:rPr>
          <w:rFonts w:eastAsia="Calibri"/>
          <w:bCs/>
          <w:i/>
        </w:rPr>
        <w:t>e.g</w:t>
      </w:r>
      <w:r w:rsidRPr="00D4651F">
        <w:rPr>
          <w:rFonts w:eastAsia="Calibri"/>
          <w:bCs/>
        </w:rPr>
        <w:t>., an interest rate swap), arbitrage reports and underlying documents, including trustee statements</w:t>
      </w:r>
      <w:r w:rsidRPr="00D4651F">
        <w:rPr>
          <w:rFonts w:eastAsia="Calibri"/>
        </w:rPr>
        <w:t>;</w:t>
      </w:r>
    </w:p>
    <w:p w:rsidR="002E6EDA" w:rsidRPr="00D4651F" w:rsidRDefault="002E6EDA" w:rsidP="002E6EDA">
      <w:pPr>
        <w:numPr>
          <w:ilvl w:val="0"/>
          <w:numId w:val="17"/>
        </w:numPr>
        <w:spacing w:after="120" w:line="360" w:lineRule="auto"/>
        <w:jc w:val="both"/>
        <w:rPr>
          <w:rFonts w:eastAsia="Calibri"/>
        </w:rPr>
      </w:pPr>
      <w:r w:rsidRPr="00D4651F">
        <w:rPr>
          <w:rFonts w:eastAsia="Calibri"/>
          <w:bCs/>
        </w:rPr>
        <w:t xml:space="preserve">Copies of material documents relating to capital expenditures financed or refinanced by Bond proceeds, including (without limitation) purchase orders, invoices, trustee requisitions and payment records, as well as documents relating to costs reimbursed with </w:t>
      </w:r>
      <w:r w:rsidRPr="00D4651F">
        <w:rPr>
          <w:rFonts w:eastAsia="Calibri"/>
          <w:bCs/>
        </w:rPr>
        <w:lastRenderedPageBreak/>
        <w:t>Bond proceeds and records identifying the assets or portion of assets that are financed or refinanced with Bond proceeds;</w:t>
      </w:r>
    </w:p>
    <w:p w:rsidR="002E6EDA" w:rsidRPr="00D4651F" w:rsidRDefault="002E6EDA" w:rsidP="002E6EDA">
      <w:pPr>
        <w:numPr>
          <w:ilvl w:val="0"/>
          <w:numId w:val="17"/>
        </w:numPr>
        <w:spacing w:after="120" w:line="360" w:lineRule="auto"/>
        <w:jc w:val="both"/>
        <w:rPr>
          <w:rFonts w:eastAsia="Calibri"/>
        </w:rPr>
      </w:pPr>
      <w:r w:rsidRPr="00D4651F">
        <w:rPr>
          <w:rFonts w:eastAsia="Calibri"/>
        </w:rPr>
        <w:t>All contracts and arrangements involving private use, or changes in use, of the Bond-financed property;</w:t>
      </w:r>
    </w:p>
    <w:p w:rsidR="002E6EDA" w:rsidRPr="00D4651F" w:rsidRDefault="002E6EDA" w:rsidP="002E6EDA">
      <w:pPr>
        <w:numPr>
          <w:ilvl w:val="0"/>
          <w:numId w:val="17"/>
        </w:numPr>
        <w:spacing w:after="120" w:line="360" w:lineRule="auto"/>
        <w:jc w:val="both"/>
        <w:rPr>
          <w:rFonts w:eastAsia="Calibri"/>
        </w:rPr>
      </w:pPr>
      <w:r w:rsidRPr="00D4651F">
        <w:rPr>
          <w:rFonts w:eastAsia="Calibri"/>
        </w:rPr>
        <w:t>All reports and documents relating to the allocation of Bond proceeds and private use of Bond-financed property; and</w:t>
      </w:r>
    </w:p>
    <w:p w:rsidR="002E6EDA" w:rsidRPr="00D4651F" w:rsidRDefault="002E6EDA" w:rsidP="002E6EDA">
      <w:pPr>
        <w:numPr>
          <w:ilvl w:val="0"/>
          <w:numId w:val="17"/>
        </w:numPr>
        <w:spacing w:after="120" w:line="360" w:lineRule="auto"/>
        <w:jc w:val="both"/>
        <w:rPr>
          <w:rFonts w:eastAsia="Calibri"/>
        </w:rPr>
      </w:pPr>
      <w:r w:rsidRPr="00D4651F">
        <w:rPr>
          <w:rFonts w:eastAsia="Calibri"/>
        </w:rPr>
        <w:t>Itemization of property financed with Bond proceeds, including placed in service dates.</w:t>
      </w:r>
    </w:p>
    <w:p w:rsidR="002E6EDA" w:rsidRPr="00D4651F" w:rsidRDefault="002E6EDA" w:rsidP="002E6EDA">
      <w:pPr>
        <w:numPr>
          <w:ilvl w:val="0"/>
          <w:numId w:val="17"/>
        </w:numPr>
        <w:spacing w:after="120" w:line="360" w:lineRule="auto"/>
        <w:jc w:val="both"/>
        <w:rPr>
          <w:rFonts w:eastAsia="Calibri"/>
        </w:rPr>
      </w:pPr>
      <w:r w:rsidRPr="00D4651F">
        <w:rPr>
          <w:rFonts w:eastAsia="Calibri"/>
        </w:rPr>
        <w:t>In the case of short-term working capital financings, such as tax and revenue anticipation notes, information regarding the Issuer’s revenue, expenditures and available balances sufficient to support the Issuer’s maximum cumulative cash flow deficit.</w:t>
      </w:r>
    </w:p>
    <w:p w:rsidR="002E6EDA" w:rsidRPr="00D4651F" w:rsidRDefault="002E6EDA" w:rsidP="002E6EDA">
      <w:pPr>
        <w:spacing w:after="120" w:line="360" w:lineRule="auto"/>
        <w:jc w:val="center"/>
        <w:rPr>
          <w:rFonts w:eastAsia="Calibri"/>
          <w:szCs w:val="22"/>
        </w:rPr>
      </w:pPr>
      <w:r w:rsidRPr="00D4651F">
        <w:rPr>
          <w:rFonts w:eastAsia="Calibri"/>
          <w:szCs w:val="22"/>
        </w:rPr>
        <w:t>III.</w:t>
      </w:r>
      <w:r w:rsidRPr="00D4651F">
        <w:rPr>
          <w:rFonts w:eastAsia="Calibri"/>
          <w:szCs w:val="22"/>
        </w:rPr>
        <w:br/>
      </w:r>
      <w:r w:rsidRPr="00D4651F">
        <w:rPr>
          <w:rFonts w:eastAsia="Calibri"/>
          <w:szCs w:val="22"/>
          <w:u w:val="single"/>
        </w:rPr>
        <w:t>POST-ISSUANCE COMPLIANCE</w:t>
      </w:r>
      <w:r w:rsidRPr="00D4651F">
        <w:rPr>
          <w:rFonts w:eastAsia="Calibri"/>
          <w:szCs w:val="22"/>
        </w:rPr>
        <w:t>.</w:t>
      </w:r>
    </w:p>
    <w:p w:rsidR="002E6EDA" w:rsidRPr="00D4651F" w:rsidRDefault="002E6EDA" w:rsidP="002E6EDA">
      <w:pPr>
        <w:spacing w:after="240" w:line="360" w:lineRule="auto"/>
        <w:ind w:firstLine="720"/>
        <w:jc w:val="both"/>
        <w:rPr>
          <w:rFonts w:eastAsia="Calibri"/>
        </w:rPr>
      </w:pPr>
      <w:r w:rsidRPr="00D4651F">
        <w:rPr>
          <w:rFonts w:eastAsia="Calibri"/>
          <w:szCs w:val="22"/>
        </w:rPr>
        <w:t>A.</w:t>
      </w:r>
      <w:r w:rsidRPr="00D4651F">
        <w:rPr>
          <w:rFonts w:eastAsia="Calibri"/>
          <w:szCs w:val="22"/>
        </w:rPr>
        <w:tab/>
      </w:r>
      <w:r w:rsidRPr="00D4651F">
        <w:rPr>
          <w:rFonts w:eastAsia="Calibri"/>
          <w:szCs w:val="22"/>
          <w:u w:val="single"/>
        </w:rPr>
        <w:t>In General</w:t>
      </w:r>
      <w:r w:rsidRPr="00D4651F">
        <w:rPr>
          <w:rFonts w:eastAsia="Calibri"/>
          <w:szCs w:val="22"/>
        </w:rPr>
        <w:t>.  The Issuer will conduct periodic reviews of compliance with these procedures to determine whether any violations have occurred so that such violations</w:t>
      </w:r>
      <w:r w:rsidRPr="00D4651F">
        <w:rPr>
          <w:rFonts w:eastAsia="Calibri"/>
        </w:rPr>
        <w:t xml:space="preserve"> can be remedied through the “remedial action” regulations (Treas. Reg. Section 1.141-12) or the Voluntary Closing Agreement Program (VCAP) described in IRS Notice 2008-31 (or successor guidance).  If any changes or modifications to the terms or provisions of a Bond issue are contemplated, the Issuer will consult Bond Counsel.  The Issuer recognizes and acknowledges that such modifications could result in a “reissuance” of the Bonds for federal tax purposes (</w:t>
      </w:r>
      <w:r w:rsidRPr="00D4651F">
        <w:rPr>
          <w:rFonts w:eastAsia="Calibri"/>
          <w:i/>
        </w:rPr>
        <w:t>i.e.</w:t>
      </w:r>
      <w:r w:rsidRPr="00D4651F">
        <w:rPr>
          <w:rFonts w:eastAsia="Calibri"/>
        </w:rPr>
        <w:t>, a deemed refunding) and thereby jeopardize the tax-exempt status of the Bonds after the modifications.</w:t>
      </w:r>
    </w:p>
    <w:p w:rsidR="002E6EDA" w:rsidRPr="00D4651F" w:rsidRDefault="002E6EDA" w:rsidP="002E6EDA">
      <w:pPr>
        <w:spacing w:after="240" w:line="360" w:lineRule="auto"/>
        <w:ind w:firstLine="720"/>
        <w:jc w:val="both"/>
        <w:rPr>
          <w:rFonts w:eastAsia="Calibri"/>
        </w:rPr>
      </w:pPr>
      <w:r w:rsidRPr="00D4651F">
        <w:rPr>
          <w:rFonts w:eastAsia="Calibri"/>
        </w:rPr>
        <w:t>The Bond Compliance Officer and/or other designated Issuer personnel will consult with Bond Counsel and other legal counsel and advisors, as needed, following issuance of each issue of the Bonds to ensure that all applicable post-issuance requirements in fact are met, so that interest on the Bonds will be excluded from gross income for federal income tax purposes so long as any Bonds remain outstanding.  This will include, without limitation, consultation in connection with future contracts with respect to the use of Bond-financed assets and future contracts with respect to the use of output or throughput of Bond-financed assets.</w:t>
      </w:r>
    </w:p>
    <w:p w:rsidR="002E6EDA" w:rsidRPr="00D4651F" w:rsidRDefault="002E6EDA" w:rsidP="002E6EDA">
      <w:pPr>
        <w:spacing w:after="240" w:line="360" w:lineRule="auto"/>
        <w:ind w:firstLine="720"/>
        <w:jc w:val="both"/>
        <w:rPr>
          <w:rFonts w:eastAsia="Calibri"/>
        </w:rPr>
      </w:pPr>
      <w:r w:rsidRPr="00D4651F">
        <w:rPr>
          <w:rFonts w:eastAsia="Calibri"/>
        </w:rPr>
        <w:t>Whenever necessary or appropriate, the Issuer will engage an expert advisor as arbitrage rebate consultant to assist in the calculation of arbitrage rebate payable in respect of the investment of Bond proceeds.</w:t>
      </w:r>
    </w:p>
    <w:p w:rsidR="002E6EDA" w:rsidRPr="00D4651F" w:rsidRDefault="002E6EDA" w:rsidP="002E6EDA">
      <w:pPr>
        <w:spacing w:after="240" w:line="360" w:lineRule="auto"/>
        <w:ind w:firstLine="720"/>
        <w:jc w:val="both"/>
        <w:rPr>
          <w:rFonts w:eastAsia="Calibri"/>
          <w:bCs/>
        </w:rPr>
      </w:pPr>
      <w:r w:rsidRPr="00D4651F">
        <w:rPr>
          <w:rFonts w:eastAsia="Calibri"/>
        </w:rPr>
        <w:lastRenderedPageBreak/>
        <w:t>B.</w:t>
      </w:r>
      <w:r w:rsidRPr="00D4651F">
        <w:rPr>
          <w:rFonts w:eastAsia="Calibri"/>
        </w:rPr>
        <w:tab/>
      </w:r>
      <w:r w:rsidRPr="00D4651F">
        <w:rPr>
          <w:rFonts w:eastAsia="Calibri"/>
          <w:u w:val="single"/>
        </w:rPr>
        <w:t>Monitoring Private or Other Use of Financed Assets</w:t>
      </w:r>
      <w:r w:rsidRPr="00D4651F">
        <w:rPr>
          <w:rFonts w:eastAsia="Calibri"/>
        </w:rPr>
        <w:t xml:space="preserve">.  The Issuer will maintain records identifying the assets or portion of assets that are financed or refinanced with proceeds of a Bond issue, including the uses and the users thereof (including terms of use and type of use).  Such records may be kept in any combination of paper or electronic form.  In the event the use of Bond proceeds or the assets financed or refinanced with Bond proceeds is different from the covenants, representations or factual statements in the Tax Certificate, the Issuer will promptly contact and consult with Bond Counsel to ensure that there is no adverse effect on the tax-exempt status of the Bond issue and, where appropriate, will remedy </w:t>
      </w:r>
      <w:r w:rsidRPr="00D4651F">
        <w:rPr>
          <w:rFonts w:eastAsia="Calibri"/>
          <w:bCs/>
        </w:rPr>
        <w:t>any violations through the “remedial action” regulations (Treas. Reg. Section 1.141-12), the Voluntary Closing Agreement Program (VCAP) described in IRS Notice 2008-31 (or successor guidance), or as otherwise prescribed by Bond Counsel.</w:t>
      </w:r>
    </w:p>
    <w:p w:rsidR="002E6EDA" w:rsidRPr="00D4651F" w:rsidRDefault="002E6EDA" w:rsidP="002E6EDA">
      <w:pPr>
        <w:tabs>
          <w:tab w:val="left" w:pos="720"/>
        </w:tabs>
        <w:spacing w:after="240" w:line="360" w:lineRule="auto"/>
        <w:ind w:firstLine="720"/>
        <w:jc w:val="both"/>
        <w:outlineLvl w:val="3"/>
        <w:rPr>
          <w:rFonts w:eastAsia="Calibri"/>
          <w:szCs w:val="22"/>
        </w:rPr>
      </w:pPr>
      <w:r w:rsidRPr="00D4651F">
        <w:rPr>
          <w:bCs/>
          <w:iCs/>
          <w:szCs w:val="22"/>
        </w:rPr>
        <w:t>C.</w:t>
      </w:r>
      <w:r w:rsidRPr="00D4651F">
        <w:rPr>
          <w:bCs/>
          <w:iCs/>
          <w:szCs w:val="22"/>
        </w:rPr>
        <w:tab/>
      </w:r>
      <w:r w:rsidRPr="00D4651F">
        <w:rPr>
          <w:bCs/>
          <w:iCs/>
          <w:szCs w:val="22"/>
          <w:u w:val="single"/>
        </w:rPr>
        <w:t>Ongoing Training</w:t>
      </w:r>
      <w:r>
        <w:rPr>
          <w:bCs/>
          <w:iCs/>
          <w:szCs w:val="22"/>
        </w:rPr>
        <w:t xml:space="preserve">.  </w:t>
      </w:r>
      <w:r w:rsidRPr="00D4651F">
        <w:rPr>
          <w:rFonts w:eastAsia="Calibri"/>
          <w:szCs w:val="22"/>
        </w:rPr>
        <w:t>Training shall be made available to the Bond Compliance Officer to support the Bond Compliance Officer’s understanding of the tax requirements applicable to the Bonds. Such training may include, but would not be limited to, attending training sessions at local conferences such as OGFOA, OASBO, and/or SDAO, participation in IRS teleconferences, reading technical guidance materials provided by educational organizations, the IRS, and/or Bond Counsel, and discussing questions and issues with the Issuer’s Bond Counsel and/or arbitrage rebate consultant.</w:t>
      </w:r>
    </w:p>
    <w:p w:rsidR="002E6EDA" w:rsidRPr="00D4651F" w:rsidRDefault="002E6EDA" w:rsidP="002E6EDA">
      <w:pPr>
        <w:spacing w:after="240" w:line="360" w:lineRule="auto"/>
        <w:ind w:firstLine="720"/>
        <w:jc w:val="both"/>
        <w:rPr>
          <w:rFonts w:eastAsia="Calibri"/>
        </w:rPr>
      </w:pPr>
      <w:r w:rsidRPr="00D4651F">
        <w:rPr>
          <w:rFonts w:eastAsia="Calibri"/>
        </w:rPr>
        <w:t>D.</w:t>
      </w:r>
      <w:r w:rsidRPr="00D4651F">
        <w:rPr>
          <w:rFonts w:eastAsia="Calibri"/>
        </w:rPr>
        <w:tab/>
      </w:r>
      <w:r w:rsidRPr="00D4651F">
        <w:rPr>
          <w:rFonts w:eastAsia="Calibri"/>
          <w:u w:val="single"/>
        </w:rPr>
        <w:t>Annual Checklist of Tax-Exempt Bond Compliance Checklist</w:t>
      </w:r>
      <w:r w:rsidRPr="00D4651F">
        <w:rPr>
          <w:rFonts w:eastAsia="Calibri"/>
        </w:rPr>
        <w:t xml:space="preserve">. The Bond Compliance Officer will complete the attached “Annual Tax-Exempt Bond Compliance Checklist” with respect to all outstanding Bonds on or before </w:t>
      </w:r>
      <w:r>
        <w:rPr>
          <w:rFonts w:eastAsia="Calibri"/>
        </w:rPr>
        <w:t>December 1</w:t>
      </w:r>
      <w:r w:rsidRPr="00D4651F">
        <w:rPr>
          <w:rFonts w:eastAsia="Calibri"/>
        </w:rPr>
        <w:t xml:space="preserve"> of each annual period.  The Bond Compliance Officer will retain a copy of each completed and signed checklist in a file that is retained in accordance with the document retention requirements described in Section II.F., above.</w:t>
      </w:r>
    </w:p>
    <w:p w:rsidR="002E6EDA" w:rsidRPr="00D4651F" w:rsidRDefault="002E6EDA" w:rsidP="002E6EDA">
      <w:pPr>
        <w:keepNext/>
        <w:spacing w:after="240" w:line="360" w:lineRule="auto"/>
        <w:jc w:val="center"/>
        <w:outlineLvl w:val="0"/>
        <w:rPr>
          <w:bCs/>
          <w:kern w:val="32"/>
          <w:szCs w:val="28"/>
        </w:rPr>
      </w:pPr>
      <w:r w:rsidRPr="00D4651F">
        <w:rPr>
          <w:bCs/>
          <w:kern w:val="32"/>
          <w:szCs w:val="28"/>
        </w:rPr>
        <w:t>IV.</w:t>
      </w:r>
      <w:r w:rsidRPr="00D4651F">
        <w:rPr>
          <w:bCs/>
          <w:kern w:val="32"/>
          <w:szCs w:val="28"/>
        </w:rPr>
        <w:br/>
      </w:r>
      <w:r w:rsidRPr="00D4651F">
        <w:rPr>
          <w:bCs/>
          <w:kern w:val="32"/>
          <w:szCs w:val="28"/>
          <w:u w:val="single"/>
        </w:rPr>
        <w:t>FEDERAL SECURITIES LAW PROCEDURES</w:t>
      </w:r>
      <w:r w:rsidRPr="00D4651F">
        <w:rPr>
          <w:bCs/>
          <w:kern w:val="32"/>
          <w:szCs w:val="28"/>
        </w:rPr>
        <w:t>.</w:t>
      </w:r>
    </w:p>
    <w:p w:rsidR="002E6EDA" w:rsidRPr="00D4651F" w:rsidRDefault="002E6EDA" w:rsidP="002E6EDA">
      <w:pPr>
        <w:spacing w:after="240" w:line="360" w:lineRule="auto"/>
        <w:ind w:left="720"/>
        <w:jc w:val="both"/>
        <w:outlineLvl w:val="1"/>
        <w:rPr>
          <w:bCs/>
          <w:szCs w:val="26"/>
        </w:rPr>
      </w:pPr>
      <w:r w:rsidRPr="00D4651F">
        <w:rPr>
          <w:bCs/>
          <w:szCs w:val="26"/>
        </w:rPr>
        <w:t>A.</w:t>
      </w:r>
      <w:r w:rsidRPr="00D4651F">
        <w:rPr>
          <w:bCs/>
          <w:szCs w:val="26"/>
        </w:rPr>
        <w:tab/>
      </w:r>
      <w:r w:rsidRPr="00D4651F">
        <w:rPr>
          <w:bCs/>
          <w:szCs w:val="26"/>
          <w:u w:val="single"/>
        </w:rPr>
        <w:t>Anti-Fraud Provisions</w:t>
      </w:r>
      <w:r w:rsidRPr="00D4651F">
        <w:rPr>
          <w:bCs/>
          <w:szCs w:val="26"/>
        </w:rPr>
        <w:t>.</w:t>
      </w:r>
    </w:p>
    <w:p w:rsidR="002E6EDA" w:rsidRPr="00D4651F" w:rsidRDefault="002E6EDA" w:rsidP="002E6EDA">
      <w:pPr>
        <w:spacing w:after="240" w:line="360" w:lineRule="auto"/>
        <w:ind w:firstLine="720"/>
        <w:jc w:val="both"/>
        <w:rPr>
          <w:rFonts w:eastAsia="Calibri"/>
        </w:rPr>
      </w:pPr>
      <w:r w:rsidRPr="00D4651F">
        <w:rPr>
          <w:rFonts w:eastAsia="Calibri"/>
        </w:rPr>
        <w:t xml:space="preserve">Pursuant to the antifraud provisions of the Securities Act of 1933 and the Securities and Exchange Act of 1934, and accompanying regulations, applicable to securities such as the Bonds, if publicly offered, any material provided by the Issuer in connection with the offer or sale of the Bonds may not contain any untrue statement of a material fact or omit to state a material fact necessary in order to make the statements made, in light of the circumstances under which they were made, not misleading.  This material may be in the form of an offering circular or offering memorandum for a private placement and, although it is unclear whether such rules apply to these materials, the Bond Compliance Officer </w:t>
      </w:r>
      <w:r w:rsidRPr="00D4651F">
        <w:rPr>
          <w:rFonts w:eastAsia="Calibri"/>
        </w:rPr>
        <w:lastRenderedPageBreak/>
        <w:t>should review them with the same standard in mind.  For a publicly offered transaction, the disclosure document may be a preliminary official statement or a final official statement and any materials provided to the rating agencies or credit enhancement provider.  Such material may also include information provided to a bank or institutional investor about the Issuer or the Bonds in connection with a bank loan or private placement.  The antifraud provisions also apply to continuing disclosure discussed below.  The Bond Compliance Officer will actively participate in the Bond issuance process to ensure that all information regarding the Issuer described in the official statement or other materials prepared in connection with the initial sale of publicly offered Bonds or bank placements do not contain any untrue statement of a material fact or omit to state a material fact necessary in order to make the statements made, in light of the circumstances under which they were made, not misleading.</w:t>
      </w:r>
    </w:p>
    <w:p w:rsidR="002E6EDA" w:rsidRPr="00D4651F" w:rsidRDefault="002E6EDA" w:rsidP="002E6EDA">
      <w:pPr>
        <w:spacing w:after="240" w:line="360" w:lineRule="auto"/>
        <w:ind w:left="720"/>
        <w:jc w:val="both"/>
        <w:outlineLvl w:val="1"/>
        <w:rPr>
          <w:bCs/>
          <w:szCs w:val="26"/>
        </w:rPr>
      </w:pPr>
      <w:bookmarkStart w:id="1" w:name="_Ref339878580"/>
      <w:r w:rsidRPr="00D4651F">
        <w:rPr>
          <w:bCs/>
          <w:szCs w:val="26"/>
        </w:rPr>
        <w:t>B.</w:t>
      </w:r>
      <w:r w:rsidRPr="00D4651F">
        <w:rPr>
          <w:bCs/>
          <w:szCs w:val="26"/>
        </w:rPr>
        <w:tab/>
      </w:r>
      <w:r w:rsidRPr="00D4651F">
        <w:rPr>
          <w:bCs/>
          <w:szCs w:val="26"/>
          <w:u w:val="single"/>
        </w:rPr>
        <w:t>Continuing Disclosure</w:t>
      </w:r>
      <w:r w:rsidRPr="00D4651F">
        <w:rPr>
          <w:bCs/>
          <w:szCs w:val="26"/>
        </w:rPr>
        <w:t>.</w:t>
      </w:r>
      <w:bookmarkEnd w:id="1"/>
    </w:p>
    <w:p w:rsidR="002E6EDA" w:rsidRPr="00D4651F" w:rsidRDefault="002E6EDA" w:rsidP="002E6EDA">
      <w:pPr>
        <w:spacing w:after="240" w:line="360" w:lineRule="auto"/>
        <w:ind w:firstLine="720"/>
        <w:jc w:val="both"/>
        <w:outlineLvl w:val="1"/>
        <w:rPr>
          <w:bCs/>
          <w:szCs w:val="22"/>
        </w:rPr>
      </w:pPr>
      <w:r w:rsidRPr="00D4651F">
        <w:rPr>
          <w:bCs/>
          <w:szCs w:val="22"/>
        </w:rPr>
        <w:t>In connection with an offering of the Bonds, the Issuer will execute a Continuing Disclosure Agreement, Continuing Disclosure Undertaking, Continuing Disclosure Certificate or such similarly titled document (herein referred to as the “</w:t>
      </w:r>
      <w:r w:rsidRPr="00D4651F">
        <w:rPr>
          <w:bCs/>
          <w:szCs w:val="22"/>
          <w:u w:val="single"/>
        </w:rPr>
        <w:t>Continuing Disclosure Agreement</w:t>
      </w:r>
      <w:r w:rsidRPr="00D4651F">
        <w:rPr>
          <w:bCs/>
          <w:szCs w:val="22"/>
        </w:rPr>
        <w:t>”).  Pursuant to the Continuing Disclosure Agreement, the Issuer may be obligated to provide annual financial disclosure to the secondary market through the Municipal Rulemaking Securities Board’s Electronic Municipal Market Access (“</w:t>
      </w:r>
      <w:r w:rsidRPr="00F17749">
        <w:rPr>
          <w:bCs/>
          <w:szCs w:val="22"/>
          <w:u w:val="single"/>
        </w:rPr>
        <w:t>EMMA</w:t>
      </w:r>
      <w:r w:rsidRPr="00D4651F">
        <w:rPr>
          <w:bCs/>
          <w:szCs w:val="22"/>
        </w:rPr>
        <w:t>”) system, as well as notices of certain material events listed in the Continuing Disclosure Agreement.  In order to maintain compliance with the Issuer’s obligations in the Continuing Disclosure Agreement, the Bond Compliance Officer will, if and as required by such Continuing Disclosure Agreement:</w:t>
      </w:r>
    </w:p>
    <w:p w:rsidR="002E6EDA" w:rsidRPr="00D4651F" w:rsidRDefault="002E6EDA" w:rsidP="002E6EDA">
      <w:pPr>
        <w:numPr>
          <w:ilvl w:val="0"/>
          <w:numId w:val="18"/>
        </w:numPr>
        <w:spacing w:after="240" w:line="360" w:lineRule="auto"/>
        <w:ind w:left="1440"/>
        <w:jc w:val="both"/>
        <w:outlineLvl w:val="1"/>
        <w:rPr>
          <w:bCs/>
          <w:szCs w:val="22"/>
        </w:rPr>
      </w:pPr>
      <w:r w:rsidRPr="00D4651F">
        <w:rPr>
          <w:bCs/>
          <w:szCs w:val="22"/>
        </w:rPr>
        <w:t>Assist in the preparation or review of annual reports ("</w:t>
      </w:r>
      <w:r w:rsidRPr="00D4651F">
        <w:rPr>
          <w:bCs/>
          <w:szCs w:val="22"/>
          <w:u w:val="single"/>
        </w:rPr>
        <w:t>Annual Reports</w:t>
      </w:r>
      <w:r w:rsidRPr="00D4651F">
        <w:rPr>
          <w:bCs/>
          <w:szCs w:val="22"/>
        </w:rPr>
        <w:t>") in the form required by the related Continuing Disclosure Agreements.</w:t>
      </w:r>
    </w:p>
    <w:p w:rsidR="002E6EDA" w:rsidRPr="00D4651F" w:rsidRDefault="002E6EDA" w:rsidP="002E6EDA">
      <w:pPr>
        <w:numPr>
          <w:ilvl w:val="0"/>
          <w:numId w:val="18"/>
        </w:numPr>
        <w:spacing w:after="240" w:line="360" w:lineRule="auto"/>
        <w:ind w:left="1440"/>
        <w:jc w:val="both"/>
        <w:outlineLvl w:val="1"/>
        <w:rPr>
          <w:bCs/>
          <w:szCs w:val="22"/>
        </w:rPr>
      </w:pPr>
      <w:r w:rsidRPr="00D4651F">
        <w:rPr>
          <w:bCs/>
          <w:szCs w:val="22"/>
        </w:rPr>
        <w:t>Maintain a calendar, with appropriate reminder notifications, listing the filing due dates relating to dissemination of Annual Reports, which annual due date is generally expressed as a date within a certain number of days following the end of the Issuer's fiscal year (the "</w:t>
      </w:r>
      <w:r w:rsidRPr="00D4651F">
        <w:rPr>
          <w:bCs/>
          <w:szCs w:val="22"/>
          <w:u w:val="single"/>
        </w:rPr>
        <w:t>Annual Report Due Date</w:t>
      </w:r>
      <w:r w:rsidRPr="00D4651F">
        <w:rPr>
          <w:bCs/>
          <w:szCs w:val="22"/>
        </w:rPr>
        <w:t>"), as provided in the related Continuing Disclosure Agreement.</w:t>
      </w:r>
    </w:p>
    <w:p w:rsidR="002E6EDA" w:rsidRPr="00D4651F" w:rsidRDefault="002E6EDA" w:rsidP="002E6EDA">
      <w:pPr>
        <w:numPr>
          <w:ilvl w:val="0"/>
          <w:numId w:val="18"/>
        </w:numPr>
        <w:spacing w:after="240" w:line="360" w:lineRule="auto"/>
        <w:ind w:left="1440"/>
        <w:jc w:val="both"/>
        <w:outlineLvl w:val="1"/>
        <w:rPr>
          <w:bCs/>
          <w:color w:val="000000"/>
          <w:szCs w:val="22"/>
        </w:rPr>
      </w:pPr>
      <w:r w:rsidRPr="00D4651F">
        <w:rPr>
          <w:bCs/>
          <w:szCs w:val="22"/>
        </w:rPr>
        <w:t xml:space="preserve">Ensure timely dissemination of the Annual Report by the Annual Report Due Date, in the format and manner provided in the related Continuing Disclosure Agreements, which may include </w:t>
      </w:r>
      <w:r w:rsidRPr="00D4651F">
        <w:rPr>
          <w:bCs/>
          <w:color w:val="000000"/>
          <w:szCs w:val="22"/>
        </w:rPr>
        <w:t xml:space="preserve">transmitting such filing to the Municipal Securities Rulemaking Board </w:t>
      </w:r>
      <w:r w:rsidRPr="00D4651F">
        <w:rPr>
          <w:bCs/>
          <w:color w:val="000000"/>
          <w:szCs w:val="22"/>
        </w:rPr>
        <w:lastRenderedPageBreak/>
        <w:t>("</w:t>
      </w:r>
      <w:r w:rsidRPr="00D4651F">
        <w:rPr>
          <w:bCs/>
          <w:color w:val="000000"/>
          <w:szCs w:val="22"/>
          <w:u w:val="single"/>
        </w:rPr>
        <w:t>MSRB</w:t>
      </w:r>
      <w:r w:rsidRPr="00D4651F">
        <w:rPr>
          <w:bCs/>
          <w:color w:val="000000"/>
          <w:szCs w:val="22"/>
        </w:rPr>
        <w:t>") through the Electronic Municipal Market Access ("</w:t>
      </w:r>
      <w:r w:rsidRPr="00D4651F">
        <w:rPr>
          <w:bCs/>
          <w:color w:val="000000"/>
          <w:szCs w:val="22"/>
          <w:u w:val="single"/>
        </w:rPr>
        <w:t>EMMA</w:t>
      </w:r>
      <w:r w:rsidRPr="00D4651F">
        <w:rPr>
          <w:bCs/>
          <w:color w:val="000000"/>
          <w:szCs w:val="22"/>
        </w:rPr>
        <w:t xml:space="preserve">") System at </w:t>
      </w:r>
      <w:hyperlink r:id="rId14" w:history="1">
        <w:r w:rsidRPr="00D4651F">
          <w:rPr>
            <w:bCs/>
            <w:color w:val="0000FF"/>
            <w:szCs w:val="22"/>
            <w:u w:val="single"/>
          </w:rPr>
          <w:t>www.emma.msrb.org</w:t>
        </w:r>
      </w:hyperlink>
      <w:r w:rsidRPr="00D4651F">
        <w:rPr>
          <w:bCs/>
          <w:color w:val="000000"/>
          <w:szCs w:val="22"/>
        </w:rPr>
        <w:t xml:space="preserve"> in the format prescribed by the MSRB.</w:t>
      </w:r>
    </w:p>
    <w:p w:rsidR="002E6EDA" w:rsidRPr="00D4651F" w:rsidRDefault="002E6EDA" w:rsidP="002E6EDA">
      <w:pPr>
        <w:numPr>
          <w:ilvl w:val="0"/>
          <w:numId w:val="18"/>
        </w:numPr>
        <w:spacing w:after="240" w:line="360" w:lineRule="auto"/>
        <w:ind w:left="1440"/>
        <w:jc w:val="both"/>
        <w:outlineLvl w:val="1"/>
        <w:rPr>
          <w:bCs/>
          <w:szCs w:val="22"/>
        </w:rPr>
      </w:pPr>
      <w:r w:rsidRPr="00D4651F">
        <w:rPr>
          <w:bCs/>
          <w:szCs w:val="22"/>
        </w:rPr>
        <w:t>Monitor the occurrence of any "Material Event" (as defined in the Continuing Disclosure Agreement) and timely file notice of the occurrence of any such Material Event in the manner provided under the Continuing Disclosure Agreement.  To be timely filed, such notice must transmitted within 10 days (or such other time period as set forth in the Continuing Disclosure Agreement) of the occurrence of such Material Event.</w:t>
      </w:r>
    </w:p>
    <w:p w:rsidR="002E6EDA" w:rsidRPr="00D4651F" w:rsidRDefault="002E6EDA" w:rsidP="002E6EDA">
      <w:pPr>
        <w:numPr>
          <w:ilvl w:val="0"/>
          <w:numId w:val="18"/>
        </w:numPr>
        <w:spacing w:after="240" w:line="360" w:lineRule="auto"/>
        <w:ind w:left="1440" w:hanging="540"/>
        <w:jc w:val="both"/>
        <w:outlineLvl w:val="1"/>
        <w:rPr>
          <w:bCs/>
          <w:szCs w:val="22"/>
        </w:rPr>
      </w:pPr>
      <w:r w:rsidRPr="00D4651F">
        <w:rPr>
          <w:bCs/>
          <w:szCs w:val="22"/>
        </w:rPr>
        <w:t>Ensure timely dissemination of notice of any failure to perform under a Continuing Disclosure Agreement, if and as required by the Continuing Disclosure Agreement.</w:t>
      </w:r>
    </w:p>
    <w:p w:rsidR="002E6EDA" w:rsidRPr="00D4651F" w:rsidRDefault="002E6EDA" w:rsidP="002E6EDA">
      <w:pPr>
        <w:numPr>
          <w:ilvl w:val="0"/>
          <w:numId w:val="18"/>
        </w:numPr>
        <w:spacing w:after="240" w:line="360" w:lineRule="auto"/>
        <w:ind w:left="1440" w:hanging="540"/>
        <w:jc w:val="both"/>
        <w:outlineLvl w:val="1"/>
        <w:rPr>
          <w:bCs/>
          <w:szCs w:val="22"/>
        </w:rPr>
      </w:pPr>
      <w:r w:rsidRPr="00D4651F">
        <w:rPr>
          <w:bCs/>
          <w:szCs w:val="22"/>
        </w:rPr>
        <w:t>Respond to requests, or ensure that the Issuer contact responds to requests, for information under SEC Rule 15c2-12, as provided in the Continuing Disclosure Agreement.</w:t>
      </w:r>
    </w:p>
    <w:p w:rsidR="002E6EDA" w:rsidRPr="00D4651F" w:rsidRDefault="002E6EDA" w:rsidP="002E6EDA">
      <w:pPr>
        <w:numPr>
          <w:ilvl w:val="0"/>
          <w:numId w:val="18"/>
        </w:numPr>
        <w:spacing w:after="240" w:line="360" w:lineRule="auto"/>
        <w:ind w:left="1440" w:hanging="540"/>
        <w:jc w:val="both"/>
        <w:outlineLvl w:val="1"/>
        <w:rPr>
          <w:bCs/>
          <w:szCs w:val="22"/>
        </w:rPr>
      </w:pPr>
      <w:r w:rsidRPr="00D4651F">
        <w:rPr>
          <w:bCs/>
          <w:szCs w:val="22"/>
        </w:rPr>
        <w:t>Monitor the performance of any dissemination agent(s) engaged by the Issuer to assist in the performance of any obligation under the Continuing Disclosure Agreement.</w:t>
      </w:r>
    </w:p>
    <w:p w:rsidR="002E6EDA" w:rsidRPr="00D4651F" w:rsidRDefault="002E6EDA" w:rsidP="002E6EDA">
      <w:pPr>
        <w:spacing w:after="240" w:line="360" w:lineRule="auto"/>
        <w:ind w:firstLine="720"/>
        <w:jc w:val="center"/>
        <w:rPr>
          <w:rFonts w:eastAsia="Calibri"/>
          <w:szCs w:val="22"/>
        </w:rPr>
      </w:pPr>
      <w:r w:rsidRPr="00D4651F">
        <w:rPr>
          <w:rFonts w:eastAsia="Calibri"/>
        </w:rPr>
        <w:br w:type="page"/>
      </w:r>
      <w:r w:rsidRPr="00D4651F">
        <w:rPr>
          <w:rFonts w:eastAsia="Calibri"/>
          <w:b/>
          <w:sz w:val="28"/>
          <w:szCs w:val="28"/>
        </w:rPr>
        <w:lastRenderedPageBreak/>
        <w:t>Form of Annual Tax-Exempt Bond Compliance Checklist</w:t>
      </w:r>
      <w:r w:rsidRPr="00D4651F">
        <w:rPr>
          <w:rFonts w:eastAsia="Calibri"/>
          <w:b/>
          <w:sz w:val="28"/>
          <w:szCs w:val="28"/>
        </w:rPr>
        <w:br/>
      </w:r>
      <w:r w:rsidRPr="00D4651F">
        <w:rPr>
          <w:rFonts w:eastAsia="Calibri"/>
          <w:szCs w:val="22"/>
        </w:rPr>
        <w:t>(to be completed by the “Bond Compliance Officer” as described in the Tax-Exempt Bond Post-Issuance Compliance Policy)</w:t>
      </w:r>
    </w:p>
    <w:p w:rsidR="002E6EDA" w:rsidRPr="00D4651F" w:rsidRDefault="002E6EDA" w:rsidP="002E6EDA">
      <w:pPr>
        <w:spacing w:after="240"/>
        <w:jc w:val="center"/>
        <w:rPr>
          <w:szCs w:val="22"/>
        </w:rPr>
      </w:pPr>
      <w:r w:rsidRPr="00D4651F">
        <w:rPr>
          <w:szCs w:val="22"/>
        </w:rPr>
        <w:t>Date Completed:____________________</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18"/>
        <w:gridCol w:w="1080"/>
        <w:gridCol w:w="1170"/>
      </w:tblGrid>
      <w:tr w:rsidR="002E6EDA" w:rsidRPr="00D4651F" w:rsidTr="004C3479">
        <w:trPr>
          <w:trHeight w:val="350"/>
        </w:trPr>
        <w:tc>
          <w:tcPr>
            <w:tcW w:w="7218" w:type="dxa"/>
          </w:tcPr>
          <w:p w:rsidR="002E6EDA" w:rsidRPr="00D4651F" w:rsidRDefault="002E6EDA" w:rsidP="004C3479">
            <w:pPr>
              <w:spacing w:after="240"/>
              <w:rPr>
                <w:b/>
                <w:szCs w:val="22"/>
              </w:rPr>
            </w:pPr>
          </w:p>
        </w:tc>
        <w:tc>
          <w:tcPr>
            <w:tcW w:w="1080" w:type="dxa"/>
          </w:tcPr>
          <w:p w:rsidR="002E6EDA" w:rsidRPr="00D4651F" w:rsidRDefault="002E6EDA" w:rsidP="004C3479">
            <w:pPr>
              <w:spacing w:after="240"/>
              <w:jc w:val="center"/>
              <w:rPr>
                <w:b/>
                <w:szCs w:val="22"/>
              </w:rPr>
            </w:pPr>
            <w:r w:rsidRPr="00D4651F">
              <w:rPr>
                <w:b/>
                <w:szCs w:val="22"/>
              </w:rPr>
              <w:t>Yes</w:t>
            </w:r>
          </w:p>
        </w:tc>
        <w:tc>
          <w:tcPr>
            <w:tcW w:w="1170" w:type="dxa"/>
          </w:tcPr>
          <w:p w:rsidR="002E6EDA" w:rsidRPr="00D4651F" w:rsidRDefault="002E6EDA" w:rsidP="004C3479">
            <w:pPr>
              <w:spacing w:after="240"/>
              <w:jc w:val="center"/>
              <w:rPr>
                <w:b/>
                <w:szCs w:val="22"/>
              </w:rPr>
            </w:pPr>
            <w:r w:rsidRPr="00D4651F">
              <w:rPr>
                <w:b/>
                <w:szCs w:val="22"/>
              </w:rPr>
              <w:t>No</w:t>
            </w:r>
          </w:p>
        </w:tc>
      </w:tr>
      <w:tr w:rsidR="002E6EDA" w:rsidRPr="00D4651F" w:rsidTr="004C3479">
        <w:tc>
          <w:tcPr>
            <w:tcW w:w="7218" w:type="dxa"/>
          </w:tcPr>
          <w:p w:rsidR="002E6EDA" w:rsidRPr="00D4651F" w:rsidRDefault="002E6EDA" w:rsidP="004C3479">
            <w:pPr>
              <w:spacing w:after="240"/>
              <w:rPr>
                <w:szCs w:val="22"/>
              </w:rPr>
            </w:pPr>
            <w:r w:rsidRPr="00D4651F">
              <w:rPr>
                <w:szCs w:val="22"/>
              </w:rPr>
              <w:t>Has there been a sale of all or any portion of a facility financed with tax-exempt bonds (a “Project”)?</w:t>
            </w:r>
          </w:p>
        </w:tc>
        <w:tc>
          <w:tcPr>
            <w:tcW w:w="1080" w:type="dxa"/>
          </w:tcPr>
          <w:p w:rsidR="002E6EDA" w:rsidRPr="00D4651F" w:rsidRDefault="002E6EDA" w:rsidP="004C3479">
            <w:pPr>
              <w:spacing w:after="240"/>
              <w:jc w:val="center"/>
              <w:rPr>
                <w:szCs w:val="22"/>
              </w:rPr>
            </w:pPr>
          </w:p>
        </w:tc>
        <w:tc>
          <w:tcPr>
            <w:tcW w:w="1170" w:type="dxa"/>
          </w:tcPr>
          <w:p w:rsidR="002E6EDA" w:rsidRPr="00D4651F" w:rsidRDefault="002E6EDA" w:rsidP="004C3479">
            <w:pPr>
              <w:spacing w:after="240"/>
              <w:jc w:val="center"/>
              <w:rPr>
                <w:szCs w:val="22"/>
              </w:rPr>
            </w:pPr>
          </w:p>
        </w:tc>
      </w:tr>
      <w:tr w:rsidR="002E6EDA" w:rsidRPr="00D4651F" w:rsidTr="004C3479">
        <w:tc>
          <w:tcPr>
            <w:tcW w:w="7218" w:type="dxa"/>
          </w:tcPr>
          <w:p w:rsidR="002E6EDA" w:rsidRPr="00D4651F" w:rsidRDefault="002E6EDA" w:rsidP="004C3479">
            <w:pPr>
              <w:spacing w:after="240"/>
              <w:rPr>
                <w:szCs w:val="22"/>
              </w:rPr>
            </w:pPr>
            <w:r w:rsidRPr="00D4651F">
              <w:rPr>
                <w:szCs w:val="22"/>
              </w:rPr>
              <w:t>Has there been a lease of all or any portion of a Project to any party other than a state or local government?</w:t>
            </w:r>
          </w:p>
        </w:tc>
        <w:tc>
          <w:tcPr>
            <w:tcW w:w="1080" w:type="dxa"/>
          </w:tcPr>
          <w:p w:rsidR="002E6EDA" w:rsidRPr="00D4651F" w:rsidRDefault="002E6EDA" w:rsidP="004C3479">
            <w:pPr>
              <w:spacing w:after="240"/>
              <w:jc w:val="center"/>
              <w:rPr>
                <w:szCs w:val="22"/>
              </w:rPr>
            </w:pPr>
          </w:p>
        </w:tc>
        <w:tc>
          <w:tcPr>
            <w:tcW w:w="1170" w:type="dxa"/>
          </w:tcPr>
          <w:p w:rsidR="002E6EDA" w:rsidRPr="00D4651F" w:rsidRDefault="002E6EDA" w:rsidP="004C3479">
            <w:pPr>
              <w:spacing w:after="240"/>
              <w:jc w:val="center"/>
              <w:rPr>
                <w:szCs w:val="22"/>
              </w:rPr>
            </w:pPr>
          </w:p>
        </w:tc>
      </w:tr>
      <w:tr w:rsidR="002E6EDA" w:rsidRPr="00D4651F" w:rsidTr="004C3479">
        <w:tc>
          <w:tcPr>
            <w:tcW w:w="7218" w:type="dxa"/>
          </w:tcPr>
          <w:p w:rsidR="002E6EDA" w:rsidRPr="00D4651F" w:rsidRDefault="002E6EDA" w:rsidP="004C3479">
            <w:pPr>
              <w:spacing w:after="240"/>
              <w:rPr>
                <w:szCs w:val="22"/>
              </w:rPr>
            </w:pPr>
            <w:r w:rsidRPr="00D4651F">
              <w:rPr>
                <w:szCs w:val="22"/>
              </w:rPr>
              <w:t>Has the Issuer entered into a new, or amended an already existing, management or service contract related to a Project?</w:t>
            </w:r>
          </w:p>
        </w:tc>
        <w:tc>
          <w:tcPr>
            <w:tcW w:w="1080" w:type="dxa"/>
          </w:tcPr>
          <w:p w:rsidR="002E6EDA" w:rsidRPr="00D4651F" w:rsidRDefault="002E6EDA" w:rsidP="004C3479">
            <w:pPr>
              <w:spacing w:after="240"/>
              <w:jc w:val="center"/>
              <w:rPr>
                <w:szCs w:val="22"/>
              </w:rPr>
            </w:pPr>
          </w:p>
        </w:tc>
        <w:tc>
          <w:tcPr>
            <w:tcW w:w="1170" w:type="dxa"/>
          </w:tcPr>
          <w:p w:rsidR="002E6EDA" w:rsidRPr="00D4651F" w:rsidRDefault="002E6EDA" w:rsidP="004C3479">
            <w:pPr>
              <w:spacing w:after="240"/>
              <w:jc w:val="center"/>
              <w:rPr>
                <w:szCs w:val="22"/>
              </w:rPr>
            </w:pPr>
          </w:p>
        </w:tc>
      </w:tr>
      <w:tr w:rsidR="002E6EDA" w:rsidRPr="00D4651F" w:rsidTr="004C3479">
        <w:tc>
          <w:tcPr>
            <w:tcW w:w="7218" w:type="dxa"/>
          </w:tcPr>
          <w:p w:rsidR="002E6EDA" w:rsidRPr="00D4651F" w:rsidRDefault="002E6EDA" w:rsidP="004C3479">
            <w:pPr>
              <w:spacing w:after="240"/>
              <w:rPr>
                <w:szCs w:val="22"/>
              </w:rPr>
            </w:pPr>
            <w:r w:rsidRPr="00D4651F">
              <w:rPr>
                <w:szCs w:val="22"/>
              </w:rPr>
              <w:t>Has the Issuer entered into a naming rights agreement relating to all or any portion of a Project?</w:t>
            </w:r>
          </w:p>
        </w:tc>
        <w:tc>
          <w:tcPr>
            <w:tcW w:w="1080" w:type="dxa"/>
          </w:tcPr>
          <w:p w:rsidR="002E6EDA" w:rsidRPr="00D4651F" w:rsidRDefault="002E6EDA" w:rsidP="004C3479">
            <w:pPr>
              <w:spacing w:after="240"/>
              <w:rPr>
                <w:szCs w:val="22"/>
              </w:rPr>
            </w:pPr>
          </w:p>
        </w:tc>
        <w:tc>
          <w:tcPr>
            <w:tcW w:w="1170" w:type="dxa"/>
          </w:tcPr>
          <w:p w:rsidR="002E6EDA" w:rsidRPr="00D4651F" w:rsidRDefault="002E6EDA" w:rsidP="004C3479">
            <w:pPr>
              <w:spacing w:after="240"/>
              <w:rPr>
                <w:szCs w:val="22"/>
              </w:rPr>
            </w:pPr>
          </w:p>
        </w:tc>
      </w:tr>
      <w:tr w:rsidR="002E6EDA" w:rsidRPr="00D4651F" w:rsidTr="004C3479">
        <w:tc>
          <w:tcPr>
            <w:tcW w:w="7218" w:type="dxa"/>
          </w:tcPr>
          <w:p w:rsidR="002E6EDA" w:rsidRPr="00D4651F" w:rsidRDefault="002E6EDA" w:rsidP="004C3479">
            <w:pPr>
              <w:spacing w:after="240"/>
              <w:rPr>
                <w:szCs w:val="22"/>
              </w:rPr>
            </w:pPr>
            <w:r w:rsidRPr="00D4651F">
              <w:rPr>
                <w:szCs w:val="22"/>
              </w:rPr>
              <w:t xml:space="preserve">Has the Issuer entered into any other arrangement with an entity, other than a state or local government, that  provided legal rights to that entity with respect to a Project? </w:t>
            </w:r>
          </w:p>
        </w:tc>
        <w:tc>
          <w:tcPr>
            <w:tcW w:w="1080" w:type="dxa"/>
          </w:tcPr>
          <w:p w:rsidR="002E6EDA" w:rsidRPr="00D4651F" w:rsidRDefault="002E6EDA" w:rsidP="004C3479">
            <w:pPr>
              <w:spacing w:after="240"/>
              <w:rPr>
                <w:szCs w:val="22"/>
              </w:rPr>
            </w:pPr>
          </w:p>
        </w:tc>
        <w:tc>
          <w:tcPr>
            <w:tcW w:w="1170" w:type="dxa"/>
          </w:tcPr>
          <w:p w:rsidR="002E6EDA" w:rsidRPr="00D4651F" w:rsidRDefault="002E6EDA" w:rsidP="004C3479">
            <w:pPr>
              <w:spacing w:after="240"/>
              <w:rPr>
                <w:szCs w:val="22"/>
              </w:rPr>
            </w:pPr>
          </w:p>
        </w:tc>
      </w:tr>
      <w:tr w:rsidR="002E6EDA" w:rsidRPr="00D4651F" w:rsidTr="004C3479">
        <w:tc>
          <w:tcPr>
            <w:tcW w:w="7218" w:type="dxa"/>
          </w:tcPr>
          <w:p w:rsidR="002E6EDA" w:rsidRPr="00D4651F" w:rsidRDefault="002E6EDA" w:rsidP="004C3479">
            <w:pPr>
              <w:spacing w:after="240"/>
              <w:rPr>
                <w:szCs w:val="22"/>
              </w:rPr>
            </w:pPr>
            <w:r w:rsidRPr="00D4651F">
              <w:rPr>
                <w:szCs w:val="22"/>
              </w:rPr>
              <w:t>Will there be a rebate/yield restriction arbitrage computation date during the upcoming annual period?</w:t>
            </w:r>
          </w:p>
        </w:tc>
        <w:tc>
          <w:tcPr>
            <w:tcW w:w="1080" w:type="dxa"/>
          </w:tcPr>
          <w:p w:rsidR="002E6EDA" w:rsidRPr="00D4651F" w:rsidRDefault="002E6EDA" w:rsidP="004C3479">
            <w:pPr>
              <w:spacing w:after="240"/>
              <w:rPr>
                <w:szCs w:val="22"/>
              </w:rPr>
            </w:pPr>
          </w:p>
        </w:tc>
        <w:tc>
          <w:tcPr>
            <w:tcW w:w="1170" w:type="dxa"/>
          </w:tcPr>
          <w:p w:rsidR="002E6EDA" w:rsidRPr="00D4651F" w:rsidRDefault="002E6EDA" w:rsidP="004C3479">
            <w:pPr>
              <w:spacing w:after="240"/>
              <w:rPr>
                <w:szCs w:val="22"/>
              </w:rPr>
            </w:pPr>
          </w:p>
        </w:tc>
      </w:tr>
      <w:tr w:rsidR="002E6EDA" w:rsidRPr="00D4651F" w:rsidTr="004C3479">
        <w:trPr>
          <w:trHeight w:val="773"/>
        </w:trPr>
        <w:tc>
          <w:tcPr>
            <w:tcW w:w="7218" w:type="dxa"/>
          </w:tcPr>
          <w:p w:rsidR="002E6EDA" w:rsidRPr="00D4651F" w:rsidRDefault="002E6EDA" w:rsidP="004C3479">
            <w:pPr>
              <w:spacing w:after="240"/>
              <w:rPr>
                <w:szCs w:val="22"/>
              </w:rPr>
            </w:pPr>
            <w:r w:rsidRPr="00D4651F">
              <w:rPr>
                <w:szCs w:val="22"/>
              </w:rPr>
              <w:t>Is the Issuer out of compliance with the record retention requirements as described in Section IV of the Tax-Exempt Bond Compliance Procedures?</w:t>
            </w:r>
          </w:p>
        </w:tc>
        <w:tc>
          <w:tcPr>
            <w:tcW w:w="1080" w:type="dxa"/>
          </w:tcPr>
          <w:p w:rsidR="002E6EDA" w:rsidRPr="00D4651F" w:rsidRDefault="002E6EDA" w:rsidP="004C3479">
            <w:pPr>
              <w:spacing w:after="240"/>
              <w:rPr>
                <w:szCs w:val="22"/>
              </w:rPr>
            </w:pPr>
          </w:p>
        </w:tc>
        <w:tc>
          <w:tcPr>
            <w:tcW w:w="1170" w:type="dxa"/>
          </w:tcPr>
          <w:p w:rsidR="002E6EDA" w:rsidRPr="00D4651F" w:rsidRDefault="002E6EDA" w:rsidP="004C3479">
            <w:pPr>
              <w:spacing w:after="240"/>
              <w:rPr>
                <w:szCs w:val="22"/>
              </w:rPr>
            </w:pPr>
          </w:p>
        </w:tc>
      </w:tr>
      <w:tr w:rsidR="002E6EDA" w:rsidRPr="00D4651F" w:rsidTr="004C3479">
        <w:trPr>
          <w:trHeight w:val="773"/>
        </w:trPr>
        <w:tc>
          <w:tcPr>
            <w:tcW w:w="7218" w:type="dxa"/>
          </w:tcPr>
          <w:p w:rsidR="002E6EDA" w:rsidRPr="00D4651F" w:rsidRDefault="002E6EDA" w:rsidP="004C3479">
            <w:pPr>
              <w:spacing w:after="240"/>
              <w:rPr>
                <w:szCs w:val="22"/>
              </w:rPr>
            </w:pPr>
            <w:r w:rsidRPr="00D4651F">
              <w:rPr>
                <w:szCs w:val="22"/>
              </w:rPr>
              <w:t xml:space="preserve">Has the Issuer failed to make any required filings with EMMA as required by their Continuing Disclosure Agreements? </w:t>
            </w:r>
          </w:p>
        </w:tc>
        <w:tc>
          <w:tcPr>
            <w:tcW w:w="1080" w:type="dxa"/>
          </w:tcPr>
          <w:p w:rsidR="002E6EDA" w:rsidRPr="00D4651F" w:rsidRDefault="002E6EDA" w:rsidP="004C3479">
            <w:pPr>
              <w:spacing w:after="240"/>
              <w:rPr>
                <w:szCs w:val="22"/>
              </w:rPr>
            </w:pPr>
          </w:p>
        </w:tc>
        <w:tc>
          <w:tcPr>
            <w:tcW w:w="1170" w:type="dxa"/>
          </w:tcPr>
          <w:p w:rsidR="002E6EDA" w:rsidRPr="00D4651F" w:rsidRDefault="002E6EDA" w:rsidP="004C3479">
            <w:pPr>
              <w:spacing w:after="240"/>
              <w:rPr>
                <w:szCs w:val="22"/>
              </w:rPr>
            </w:pPr>
          </w:p>
        </w:tc>
      </w:tr>
    </w:tbl>
    <w:p w:rsidR="002E6EDA" w:rsidRPr="00D4651F" w:rsidRDefault="002E6EDA" w:rsidP="002E6EDA">
      <w:pPr>
        <w:spacing w:before="240" w:after="240"/>
        <w:jc w:val="both"/>
        <w:rPr>
          <w:szCs w:val="22"/>
        </w:rPr>
      </w:pPr>
      <w:r w:rsidRPr="00D4651F">
        <w:rPr>
          <w:szCs w:val="22"/>
        </w:rPr>
        <w:t>If an answer to any question above is “Yes”, or the answer is unclear, the Bond Compliance Officer shall consult with the Issuer’s bond counsel to determine (i) if the event could adversely impact the tax-exemption of the Issuer’s outstanding tax-exempt bonds and/or (ii) whether any action needs to be taken during the upcoming annual period to ensure compliance with the tax-exempt bond or securities law restrictions.</w:t>
      </w:r>
    </w:p>
    <w:p w:rsidR="002E6EDA" w:rsidRPr="00D4651F" w:rsidRDefault="002E6EDA" w:rsidP="002E6EDA">
      <w:pPr>
        <w:spacing w:after="240"/>
        <w:jc w:val="both"/>
        <w:rPr>
          <w:i/>
          <w:szCs w:val="22"/>
        </w:rPr>
      </w:pPr>
      <w:r w:rsidRPr="00D4651F">
        <w:rPr>
          <w:i/>
          <w:szCs w:val="22"/>
        </w:rPr>
        <w:t>The undersigned is the “Bond Compliance Officer” as described in the Tax-Exempt Bond Compliance Procedures and has completed the above checklist to the best of the knowledge of the undersigned.</w:t>
      </w:r>
    </w:p>
    <w:p w:rsidR="002E6EDA" w:rsidRPr="00D4651F" w:rsidRDefault="002E6EDA" w:rsidP="002E6EDA">
      <w:pPr>
        <w:spacing w:after="120"/>
        <w:jc w:val="both"/>
        <w:rPr>
          <w:szCs w:val="22"/>
        </w:rPr>
      </w:pPr>
    </w:p>
    <w:p w:rsidR="002E6EDA" w:rsidRPr="00D4651F" w:rsidRDefault="002E6EDA" w:rsidP="002E6EDA">
      <w:pPr>
        <w:jc w:val="both"/>
        <w:rPr>
          <w:szCs w:val="22"/>
        </w:rPr>
      </w:pPr>
      <w:r w:rsidRPr="00D4651F">
        <w:rPr>
          <w:szCs w:val="22"/>
        </w:rPr>
        <w:t>____________________________________________________</w:t>
      </w:r>
      <w:r w:rsidRPr="00D4651F">
        <w:rPr>
          <w:szCs w:val="22"/>
        </w:rPr>
        <w:br/>
        <w:t xml:space="preserve">Signature of _____________________ - Bond Compliance Officer </w:t>
      </w:r>
    </w:p>
    <w:p w:rsidR="002E6EDA" w:rsidRPr="00A366D2" w:rsidRDefault="002E6EDA" w:rsidP="00FB7586">
      <w:pPr>
        <w:spacing w:after="240"/>
        <w:jc w:val="both"/>
        <w:rPr>
          <w:b/>
          <w:szCs w:val="22"/>
        </w:rPr>
      </w:pPr>
      <w:r w:rsidRPr="00D4651F">
        <w:rPr>
          <w:szCs w:val="22"/>
        </w:rPr>
        <w:tab/>
      </w:r>
      <w:r w:rsidRPr="00D4651F">
        <w:rPr>
          <w:szCs w:val="22"/>
        </w:rPr>
        <w:tab/>
        <w:t>(print name)</w:t>
      </w:r>
      <w:r w:rsidR="00FB7586" w:rsidRPr="00A366D2">
        <w:rPr>
          <w:b/>
          <w:szCs w:val="22"/>
        </w:rPr>
        <w:t xml:space="preserve"> </w:t>
      </w:r>
    </w:p>
    <w:p w:rsidR="00C2790C" w:rsidRDefault="00C2790C" w:rsidP="008D7FCE">
      <w:pPr>
        <w:pStyle w:val="by2"/>
      </w:pPr>
    </w:p>
    <w:sectPr w:rsidR="00C2790C" w:rsidSect="009427C1">
      <w:footerReference w:type="default" r:id="rId15"/>
      <w:headerReference w:type="first" r:id="rId16"/>
      <w:footerReference w:type="first" r:id="rId1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4E6" w:rsidRDefault="005C44E6">
      <w:r>
        <w:separator/>
      </w:r>
    </w:p>
  </w:endnote>
  <w:endnote w:type="continuationSeparator" w:id="0">
    <w:p w:rsidR="005C44E6" w:rsidRDefault="005C4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D1D" w:rsidRDefault="005E7D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40F" w:rsidRPr="00C2790C" w:rsidRDefault="00E8740F" w:rsidP="00E8740F">
    <w:pPr>
      <w:pStyle w:val="Footer"/>
      <w:rPr>
        <w:szCs w:val="22"/>
      </w:rPr>
    </w:pPr>
    <w:r w:rsidRPr="00C2790C">
      <w:rPr>
        <w:szCs w:val="22"/>
      </w:rPr>
      <w:t xml:space="preserve">Page </w:t>
    </w:r>
    <w:r>
      <w:rPr>
        <w:rStyle w:val="PageNumber"/>
      </w:rPr>
      <w:fldChar w:fldCharType="begin"/>
    </w:r>
    <w:r>
      <w:rPr>
        <w:rStyle w:val="PageNumber"/>
      </w:rPr>
      <w:instrText xml:space="preserve"> PAGE </w:instrText>
    </w:r>
    <w:r>
      <w:rPr>
        <w:rStyle w:val="PageNumber"/>
      </w:rPr>
      <w:fldChar w:fldCharType="separate"/>
    </w:r>
    <w:r w:rsidR="005E7D1D">
      <w:rPr>
        <w:rStyle w:val="PageNumber"/>
        <w:noProof/>
      </w:rPr>
      <w:t>6</w:t>
    </w:r>
    <w:r>
      <w:rPr>
        <w:rStyle w:val="PageNumber"/>
      </w:rPr>
      <w:fldChar w:fldCharType="end"/>
    </w:r>
    <w:r>
      <w:rPr>
        <w:rStyle w:val="PageNumber"/>
      </w:rPr>
      <w:t xml:space="preserve"> - </w:t>
    </w:r>
    <w:r w:rsidRPr="00C2790C">
      <w:rPr>
        <w:szCs w:val="22"/>
      </w:rPr>
      <w:t>Authorizing Resolution</w:t>
    </w:r>
  </w:p>
  <w:p w:rsidR="00551557" w:rsidRDefault="00CE5A71" w:rsidP="00B70CFC">
    <w:pPr>
      <w:pStyle w:val="Footer"/>
      <w:jc w:val="right"/>
    </w:pPr>
    <w:r>
      <w:rPr>
        <w:sz w:val="16"/>
      </w:rPr>
      <w:fldChar w:fldCharType="begin"/>
    </w:r>
    <w:r>
      <w:rPr>
        <w:sz w:val="16"/>
      </w:rPr>
      <w:instrText xml:space="preserve"> </w:instrText>
    </w:r>
    <w:r w:rsidRPr="00B70CFC">
      <w:rPr>
        <w:sz w:val="16"/>
      </w:rPr>
      <w:instrText>IF "</w:instrText>
    </w:r>
    <w:r w:rsidRPr="00B70CFC">
      <w:rPr>
        <w:sz w:val="16"/>
      </w:rPr>
      <w:fldChar w:fldCharType="begin"/>
    </w:r>
    <w:r w:rsidRPr="00B70CFC">
      <w:rPr>
        <w:sz w:val="16"/>
      </w:rPr>
      <w:instrText xml:space="preserve"> DOCVARIABLE "SWDocIDLocation" </w:instrText>
    </w:r>
    <w:r w:rsidRPr="00B70CFC">
      <w:rPr>
        <w:sz w:val="16"/>
      </w:rPr>
      <w:fldChar w:fldCharType="separate"/>
    </w:r>
    <w:r w:rsidR="005E7D1D">
      <w:rPr>
        <w:sz w:val="16"/>
      </w:rPr>
      <w:instrText>1</w:instrText>
    </w:r>
    <w:r w:rsidRPr="00B70CFC">
      <w:rPr>
        <w:sz w:val="16"/>
      </w:rPr>
      <w:fldChar w:fldCharType="end"/>
    </w:r>
    <w:r w:rsidRPr="00B70CFC">
      <w:rPr>
        <w:sz w:val="16"/>
      </w:rPr>
      <w:instrText>" = "1" "</w:instrText>
    </w:r>
    <w:r w:rsidRPr="00B70CFC">
      <w:rPr>
        <w:sz w:val="16"/>
      </w:rPr>
      <w:fldChar w:fldCharType="begin"/>
    </w:r>
    <w:r w:rsidRPr="00B70CFC">
      <w:rPr>
        <w:sz w:val="16"/>
      </w:rPr>
      <w:instrText xml:space="preserve"> DOCPROPERTY "SWDocID" </w:instrText>
    </w:r>
    <w:r w:rsidRPr="00B70CFC">
      <w:rPr>
        <w:sz w:val="16"/>
      </w:rPr>
      <w:fldChar w:fldCharType="separate"/>
    </w:r>
    <w:r w:rsidR="005E7D1D">
      <w:rPr>
        <w:sz w:val="16"/>
      </w:rPr>
      <w:instrText>3093344.1 041181  RSIND</w:instrText>
    </w:r>
    <w:r w:rsidRPr="00B70CFC">
      <w:rPr>
        <w:sz w:val="16"/>
      </w:rPr>
      <w:fldChar w:fldCharType="end"/>
    </w:r>
    <w:r w:rsidRPr="00B70CFC">
      <w:rPr>
        <w:sz w:val="16"/>
      </w:rPr>
      <w:instrText>" ""</w:instrText>
    </w:r>
    <w:r>
      <w:rPr>
        <w:sz w:val="16"/>
      </w:rPr>
      <w:instrText xml:space="preserve"> </w:instrText>
    </w:r>
    <w:r>
      <w:rPr>
        <w:sz w:val="16"/>
      </w:rPr>
      <w:fldChar w:fldCharType="separate"/>
    </w:r>
    <w:r w:rsidR="005E7D1D">
      <w:rPr>
        <w:noProof/>
        <w:sz w:val="16"/>
      </w:rPr>
      <w:t>3093344.1 041181  RSIND</w:t>
    </w:r>
    <w:r>
      <w:rPr>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1557" w:rsidRDefault="00CE5A71">
    <w:pPr>
      <w:pStyle w:val="Footer"/>
      <w:jc w:val="center"/>
    </w:pPr>
    <w:r>
      <w:fldChar w:fldCharType="begin"/>
    </w:r>
    <w:r>
      <w:instrText xml:space="preserve"> PAGE   \* MERGEFORMAT </w:instrText>
    </w:r>
    <w:r>
      <w:fldChar w:fldCharType="separate"/>
    </w:r>
    <w:r w:rsidR="005E7D1D">
      <w:rPr>
        <w:noProof/>
      </w:rPr>
      <w:t>1</w:t>
    </w:r>
    <w:r>
      <w:fldChar w:fldCharType="end"/>
    </w:r>
  </w:p>
  <w:p w:rsidR="00551557" w:rsidRDefault="00CE5A71" w:rsidP="00B70CFC">
    <w:pPr>
      <w:pStyle w:val="Footer"/>
      <w:jc w:val="right"/>
    </w:pPr>
    <w:r>
      <w:rPr>
        <w:sz w:val="16"/>
      </w:rPr>
      <w:fldChar w:fldCharType="begin"/>
    </w:r>
    <w:r>
      <w:rPr>
        <w:sz w:val="16"/>
      </w:rPr>
      <w:instrText xml:space="preserve"> </w:instrText>
    </w:r>
    <w:r w:rsidRPr="00B70CFC">
      <w:rPr>
        <w:sz w:val="16"/>
      </w:rPr>
      <w:instrText>IF "</w:instrText>
    </w:r>
    <w:r w:rsidRPr="00B70CFC">
      <w:rPr>
        <w:sz w:val="16"/>
      </w:rPr>
      <w:fldChar w:fldCharType="begin"/>
    </w:r>
    <w:r w:rsidRPr="00B70CFC">
      <w:rPr>
        <w:sz w:val="16"/>
      </w:rPr>
      <w:instrText xml:space="preserve"> DOCVARIABLE "SWDocIDLocation" </w:instrText>
    </w:r>
    <w:r w:rsidRPr="00B70CFC">
      <w:rPr>
        <w:sz w:val="16"/>
      </w:rPr>
      <w:fldChar w:fldCharType="separate"/>
    </w:r>
    <w:r w:rsidR="005E7D1D">
      <w:rPr>
        <w:sz w:val="16"/>
      </w:rPr>
      <w:instrText>1</w:instrText>
    </w:r>
    <w:r w:rsidRPr="00B70CFC">
      <w:rPr>
        <w:sz w:val="16"/>
      </w:rPr>
      <w:fldChar w:fldCharType="end"/>
    </w:r>
    <w:r w:rsidRPr="00B70CFC">
      <w:rPr>
        <w:sz w:val="16"/>
      </w:rPr>
      <w:instrText>" = "1" "</w:instrText>
    </w:r>
    <w:r w:rsidRPr="00B70CFC">
      <w:rPr>
        <w:sz w:val="16"/>
      </w:rPr>
      <w:fldChar w:fldCharType="begin"/>
    </w:r>
    <w:r w:rsidRPr="00B70CFC">
      <w:rPr>
        <w:sz w:val="16"/>
      </w:rPr>
      <w:instrText xml:space="preserve"> DOCPROPERTY "SWDocID" </w:instrText>
    </w:r>
    <w:r w:rsidRPr="00B70CFC">
      <w:rPr>
        <w:sz w:val="16"/>
      </w:rPr>
      <w:fldChar w:fldCharType="separate"/>
    </w:r>
    <w:r w:rsidR="005E7D1D">
      <w:rPr>
        <w:sz w:val="16"/>
      </w:rPr>
      <w:instrText>3093344.1 041181  RSIND</w:instrText>
    </w:r>
    <w:r w:rsidRPr="00B70CFC">
      <w:rPr>
        <w:sz w:val="16"/>
      </w:rPr>
      <w:fldChar w:fldCharType="end"/>
    </w:r>
    <w:r w:rsidRPr="00B70CFC">
      <w:rPr>
        <w:sz w:val="16"/>
      </w:rPr>
      <w:instrText>" ""</w:instrText>
    </w:r>
    <w:r>
      <w:rPr>
        <w:sz w:val="16"/>
      </w:rPr>
      <w:instrText xml:space="preserve"> </w:instrText>
    </w:r>
    <w:r>
      <w:rPr>
        <w:sz w:val="16"/>
      </w:rPr>
      <w:fldChar w:fldCharType="separate"/>
    </w:r>
    <w:r w:rsidR="005E7D1D">
      <w:rPr>
        <w:noProof/>
        <w:sz w:val="16"/>
      </w:rPr>
      <w:t>3093344.1 041181  RSIND</w:t>
    </w:r>
    <w:r>
      <w:rPr>
        <w:sz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CFC" w:rsidRDefault="00CE5A71">
    <w:pPr>
      <w:pStyle w:val="Footer"/>
      <w:jc w:val="center"/>
    </w:pPr>
    <w:r>
      <w:fldChar w:fldCharType="begin"/>
    </w:r>
    <w:r>
      <w:instrText xml:space="preserve"> PAGE   \* MERGEFORMAT </w:instrText>
    </w:r>
    <w:r>
      <w:fldChar w:fldCharType="separate"/>
    </w:r>
    <w:r w:rsidR="005E7D1D">
      <w:rPr>
        <w:noProof/>
      </w:rPr>
      <w:t>12</w:t>
    </w:r>
    <w:r>
      <w:fldChar w:fldCharType="end"/>
    </w:r>
  </w:p>
  <w:p w:rsidR="00551557" w:rsidRDefault="00CE5A71" w:rsidP="00B70CFC">
    <w:pPr>
      <w:pStyle w:val="Footer"/>
      <w:jc w:val="right"/>
    </w:pPr>
    <w:r>
      <w:rPr>
        <w:sz w:val="16"/>
      </w:rPr>
      <w:fldChar w:fldCharType="begin"/>
    </w:r>
    <w:r>
      <w:rPr>
        <w:sz w:val="16"/>
      </w:rPr>
      <w:instrText xml:space="preserve"> </w:instrText>
    </w:r>
    <w:r w:rsidRPr="00B70CFC">
      <w:rPr>
        <w:sz w:val="16"/>
      </w:rPr>
      <w:instrText>IF "</w:instrText>
    </w:r>
    <w:r w:rsidRPr="00B70CFC">
      <w:rPr>
        <w:sz w:val="16"/>
      </w:rPr>
      <w:fldChar w:fldCharType="begin"/>
    </w:r>
    <w:r w:rsidRPr="00B70CFC">
      <w:rPr>
        <w:sz w:val="16"/>
      </w:rPr>
      <w:instrText xml:space="preserve"> DOCVARIABLE "SWDocIDLocation" </w:instrText>
    </w:r>
    <w:r w:rsidRPr="00B70CFC">
      <w:rPr>
        <w:sz w:val="16"/>
      </w:rPr>
      <w:fldChar w:fldCharType="separate"/>
    </w:r>
    <w:r w:rsidR="005E7D1D">
      <w:rPr>
        <w:sz w:val="16"/>
      </w:rPr>
      <w:instrText>1</w:instrText>
    </w:r>
    <w:r w:rsidRPr="00B70CFC">
      <w:rPr>
        <w:sz w:val="16"/>
      </w:rPr>
      <w:fldChar w:fldCharType="end"/>
    </w:r>
    <w:r w:rsidRPr="00B70CFC">
      <w:rPr>
        <w:sz w:val="16"/>
      </w:rPr>
      <w:instrText>" = "1" "</w:instrText>
    </w:r>
    <w:r w:rsidRPr="00B70CFC">
      <w:rPr>
        <w:sz w:val="16"/>
      </w:rPr>
      <w:fldChar w:fldCharType="begin"/>
    </w:r>
    <w:r w:rsidRPr="00B70CFC">
      <w:rPr>
        <w:sz w:val="16"/>
      </w:rPr>
      <w:instrText xml:space="preserve"> DOCPROPERTY "SWDocID" </w:instrText>
    </w:r>
    <w:r w:rsidRPr="00B70CFC">
      <w:rPr>
        <w:sz w:val="16"/>
      </w:rPr>
      <w:fldChar w:fldCharType="separate"/>
    </w:r>
    <w:r w:rsidR="005E7D1D">
      <w:rPr>
        <w:sz w:val="16"/>
      </w:rPr>
      <w:instrText>3093344.1 041181  RSIND</w:instrText>
    </w:r>
    <w:r w:rsidRPr="00B70CFC">
      <w:rPr>
        <w:sz w:val="16"/>
      </w:rPr>
      <w:fldChar w:fldCharType="end"/>
    </w:r>
    <w:r w:rsidRPr="00B70CFC">
      <w:rPr>
        <w:sz w:val="16"/>
      </w:rPr>
      <w:instrText>" ""</w:instrText>
    </w:r>
    <w:r>
      <w:rPr>
        <w:sz w:val="16"/>
      </w:rPr>
      <w:instrText xml:space="preserve"> </w:instrText>
    </w:r>
    <w:r>
      <w:rPr>
        <w:sz w:val="16"/>
      </w:rPr>
      <w:fldChar w:fldCharType="separate"/>
    </w:r>
    <w:r w:rsidR="005E7D1D">
      <w:rPr>
        <w:noProof/>
        <w:sz w:val="16"/>
      </w:rPr>
      <w:t>3093344.1 041181  RSIND</w:t>
    </w:r>
    <w:r>
      <w:rPr>
        <w:sz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1557" w:rsidRDefault="00CE5A71">
    <w:pPr>
      <w:pStyle w:val="Footer"/>
      <w:jc w:val="center"/>
    </w:pPr>
    <w:r>
      <w:fldChar w:fldCharType="begin"/>
    </w:r>
    <w:r>
      <w:instrText xml:space="preserve"> PAGE   \* MERGEFORMAT </w:instrText>
    </w:r>
    <w:r>
      <w:fldChar w:fldCharType="separate"/>
    </w:r>
    <w:r w:rsidR="005E7D1D">
      <w:rPr>
        <w:noProof/>
      </w:rPr>
      <w:t>1</w:t>
    </w:r>
    <w:r>
      <w:fldChar w:fldCharType="end"/>
    </w:r>
  </w:p>
  <w:p w:rsidR="00551557" w:rsidRDefault="00CE5A71" w:rsidP="00B70CFC">
    <w:pPr>
      <w:pStyle w:val="Footer"/>
      <w:jc w:val="right"/>
    </w:pPr>
    <w:r>
      <w:rPr>
        <w:sz w:val="16"/>
      </w:rPr>
      <w:fldChar w:fldCharType="begin"/>
    </w:r>
    <w:r>
      <w:rPr>
        <w:sz w:val="16"/>
      </w:rPr>
      <w:instrText xml:space="preserve"> </w:instrText>
    </w:r>
    <w:r w:rsidRPr="00B70CFC">
      <w:rPr>
        <w:sz w:val="16"/>
      </w:rPr>
      <w:instrText>IF "</w:instrText>
    </w:r>
    <w:r w:rsidRPr="00B70CFC">
      <w:rPr>
        <w:sz w:val="16"/>
      </w:rPr>
      <w:fldChar w:fldCharType="begin"/>
    </w:r>
    <w:r w:rsidRPr="00B70CFC">
      <w:rPr>
        <w:sz w:val="16"/>
      </w:rPr>
      <w:instrText xml:space="preserve"> DOCVARIABLE "SWDocIDLocation" </w:instrText>
    </w:r>
    <w:r w:rsidRPr="00B70CFC">
      <w:rPr>
        <w:sz w:val="16"/>
      </w:rPr>
      <w:fldChar w:fldCharType="separate"/>
    </w:r>
    <w:r w:rsidR="005E7D1D">
      <w:rPr>
        <w:sz w:val="16"/>
      </w:rPr>
      <w:instrText>1</w:instrText>
    </w:r>
    <w:r w:rsidRPr="00B70CFC">
      <w:rPr>
        <w:sz w:val="16"/>
      </w:rPr>
      <w:fldChar w:fldCharType="end"/>
    </w:r>
    <w:r w:rsidRPr="00B70CFC">
      <w:rPr>
        <w:sz w:val="16"/>
      </w:rPr>
      <w:instrText>" = "1" "</w:instrText>
    </w:r>
    <w:r w:rsidRPr="00B70CFC">
      <w:rPr>
        <w:sz w:val="16"/>
      </w:rPr>
      <w:fldChar w:fldCharType="begin"/>
    </w:r>
    <w:r w:rsidRPr="00B70CFC">
      <w:rPr>
        <w:sz w:val="16"/>
      </w:rPr>
      <w:instrText xml:space="preserve"> DOCPROPERTY "SWDocID" </w:instrText>
    </w:r>
    <w:r w:rsidRPr="00B70CFC">
      <w:rPr>
        <w:sz w:val="16"/>
      </w:rPr>
      <w:fldChar w:fldCharType="separate"/>
    </w:r>
    <w:r w:rsidR="005E7D1D">
      <w:rPr>
        <w:sz w:val="16"/>
      </w:rPr>
      <w:instrText>3093344.1 041181  RSIND</w:instrText>
    </w:r>
    <w:r w:rsidRPr="00B70CFC">
      <w:rPr>
        <w:sz w:val="16"/>
      </w:rPr>
      <w:fldChar w:fldCharType="end"/>
    </w:r>
    <w:r w:rsidRPr="00B70CFC">
      <w:rPr>
        <w:sz w:val="16"/>
      </w:rPr>
      <w:instrText>" ""</w:instrText>
    </w:r>
    <w:r>
      <w:rPr>
        <w:sz w:val="16"/>
      </w:rPr>
      <w:instrText xml:space="preserve"> </w:instrText>
    </w:r>
    <w:r>
      <w:rPr>
        <w:sz w:val="16"/>
      </w:rPr>
      <w:fldChar w:fldCharType="separate"/>
    </w:r>
    <w:r w:rsidR="005E7D1D">
      <w:rPr>
        <w:noProof/>
        <w:sz w:val="16"/>
      </w:rPr>
      <w:t>3093344.1 041181  RSIND</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4E6" w:rsidRDefault="005C44E6">
      <w:r>
        <w:separator/>
      </w:r>
    </w:p>
  </w:footnote>
  <w:footnote w:type="continuationSeparator" w:id="0">
    <w:p w:rsidR="005C44E6" w:rsidRDefault="005C44E6">
      <w:r>
        <w:continuationSeparator/>
      </w:r>
    </w:p>
  </w:footnote>
  <w:footnote w:id="1">
    <w:p w:rsidR="002E6EDA" w:rsidRDefault="002E6EDA" w:rsidP="002E6EDA">
      <w:pPr>
        <w:pStyle w:val="FootnoteText"/>
      </w:pPr>
      <w:r>
        <w:rPr>
          <w:rStyle w:val="FootnoteReference"/>
        </w:rPr>
        <w:footnoteRef/>
      </w:r>
      <w:r>
        <w:t xml:space="preserve"> </w:t>
      </w:r>
      <w:r>
        <w:tab/>
        <w:t>I</w:t>
      </w:r>
      <w:r w:rsidRPr="00676A94">
        <w:t xml:space="preserve">n the case of </w:t>
      </w:r>
      <w:r>
        <w:t>short-term working capital financings (</w:t>
      </w:r>
      <w:r w:rsidRPr="00D47AED">
        <w:rPr>
          <w:i/>
        </w:rPr>
        <w:t>e.g.</w:t>
      </w:r>
      <w:r>
        <w:t>, TRANs)</w:t>
      </w:r>
      <w:r w:rsidRPr="00676A94">
        <w:t xml:space="preserve">, </w:t>
      </w:r>
      <w:r w:rsidRPr="00D467B7">
        <w:t xml:space="preserve">the </w:t>
      </w:r>
      <w:r>
        <w:t xml:space="preserve">Issuer’s </w:t>
      </w:r>
      <w:r w:rsidRPr="00D467B7">
        <w:t xml:space="preserve">actual </w:t>
      </w:r>
      <w:r>
        <w:t xml:space="preserve">maximum </w:t>
      </w:r>
      <w:r w:rsidRPr="00D467B7">
        <w:t xml:space="preserve">cumulative cash flow deficit as of the close of the six-month period commencing on the issue date must be at least equal to 100% of the </w:t>
      </w:r>
      <w:r>
        <w:t xml:space="preserve">issue price </w:t>
      </w:r>
      <w:r w:rsidRPr="00D467B7">
        <w:t xml:space="preserve">of the notes (under the six-month rebate exception, excluding the reasonable working capital reserve) or 90% of the </w:t>
      </w:r>
      <w:r>
        <w:t xml:space="preserve">issue price </w:t>
      </w:r>
      <w:r w:rsidRPr="00D467B7">
        <w:t>of the notes (under the statutory safe harbor exception) in order for the notes to be exempt from the rebate requirements</w:t>
      </w:r>
      <w:r>
        <w:t>.</w:t>
      </w:r>
    </w:p>
  </w:footnote>
  <w:footnote w:id="2">
    <w:p w:rsidR="002E6EDA" w:rsidRDefault="002E6EDA" w:rsidP="002E6EDA">
      <w:pPr>
        <w:pStyle w:val="FootnoteText"/>
      </w:pPr>
      <w:r>
        <w:rPr>
          <w:rStyle w:val="FootnoteReference"/>
        </w:rPr>
        <w:footnoteRef/>
      </w:r>
      <w:r>
        <w:t xml:space="preserve"> </w:t>
      </w:r>
      <w:r>
        <w:tab/>
        <w:t>These requirements do not apply to short-term working capital financings (</w:t>
      </w:r>
      <w:r w:rsidRPr="00D47AED">
        <w:rPr>
          <w:i/>
        </w:rPr>
        <w:t>e.g.</w:t>
      </w:r>
      <w:r>
        <w:t>, TRANs).</w:t>
      </w:r>
    </w:p>
  </w:footnote>
  <w:footnote w:id="3">
    <w:p w:rsidR="002E6EDA" w:rsidRDefault="002E6EDA" w:rsidP="002E6EDA">
      <w:pPr>
        <w:pStyle w:val="FootnoteText"/>
      </w:pPr>
      <w:r>
        <w:rPr>
          <w:rStyle w:val="FootnoteReference"/>
        </w:rPr>
        <w:footnoteRef/>
      </w:r>
      <w:r>
        <w:t xml:space="preserve"> </w:t>
      </w:r>
      <w:r>
        <w:tab/>
        <w:t>Proceeds of working capital financings (</w:t>
      </w:r>
      <w:r w:rsidRPr="00D47AED">
        <w:rPr>
          <w:i/>
        </w:rPr>
        <w:t>e.g.</w:t>
      </w:r>
      <w:r>
        <w:t>, TRANs) may be invested at an unrestricted yield for thirteen (13) months.</w:t>
      </w:r>
    </w:p>
  </w:footnote>
  <w:footnote w:id="4">
    <w:p w:rsidR="002E6EDA" w:rsidRDefault="002E6EDA" w:rsidP="002E6EDA">
      <w:pPr>
        <w:pStyle w:val="FootnoteText"/>
      </w:pPr>
      <w:r>
        <w:rPr>
          <w:rStyle w:val="FootnoteReference"/>
        </w:rPr>
        <w:footnoteRef/>
      </w:r>
      <w:r>
        <w:t xml:space="preserve"> </w:t>
      </w:r>
      <w:r>
        <w:tab/>
        <w:t>Proceeds of working capital financings (</w:t>
      </w:r>
      <w:r w:rsidRPr="00D47AED">
        <w:rPr>
          <w:i/>
        </w:rPr>
        <w:t>e.g.</w:t>
      </w:r>
      <w:r>
        <w:t>, TRANs) need not be spent for capital expenditures.</w:t>
      </w:r>
    </w:p>
  </w:footnote>
  <w:footnote w:id="5">
    <w:p w:rsidR="002E6EDA" w:rsidRDefault="002E6EDA" w:rsidP="002E6EDA">
      <w:pPr>
        <w:pStyle w:val="FootnoteText"/>
      </w:pPr>
      <w:r>
        <w:rPr>
          <w:rStyle w:val="FootnoteReference"/>
        </w:rPr>
        <w:footnoteRef/>
      </w:r>
      <w:r>
        <w:t xml:space="preserve"> </w:t>
      </w:r>
      <w:r>
        <w:tab/>
      </w:r>
      <w:r w:rsidRPr="006D5E1E">
        <w:t xml:space="preserve">This 10% limitation is limited to 5% in cases in which the </w:t>
      </w:r>
      <w:r>
        <w:t>P</w:t>
      </w:r>
      <w:r w:rsidRPr="006D5E1E">
        <w:t xml:space="preserve">rivate </w:t>
      </w:r>
      <w:r>
        <w:t>U</w:t>
      </w:r>
      <w:r w:rsidRPr="006D5E1E">
        <w:t xml:space="preserve">se is either unrelated or disproportionate to the governmental use of the </w:t>
      </w:r>
      <w:r>
        <w:t xml:space="preserve">financed </w:t>
      </w:r>
      <w:r w:rsidRPr="006D5E1E">
        <w:t>facility</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D1D" w:rsidRDefault="005E7D1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D1D" w:rsidRDefault="005E7D1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D1D" w:rsidRDefault="005E7D1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90B" w:rsidRDefault="005A590B">
    <w:pPr>
      <w:pStyle w:val="Header"/>
      <w:jc w:val="center"/>
      <w:rPr>
        <w:rFonts w:ascii="Times New Roman Bold" w:hAnsi="Times New Roman Bold"/>
        <w:b/>
        <w:caps/>
      </w:rPr>
    </w:pPr>
    <w:r>
      <w:rPr>
        <w:rFonts w:ascii="Times New Roman Bold" w:hAnsi="Times New Roman Bold"/>
        <w:b/>
        <w:caps/>
      </w:rPr>
      <w:t>EXHIBIT A</w:t>
    </w:r>
  </w:p>
  <w:p w:rsidR="005A590B" w:rsidRDefault="005A590B">
    <w:pPr>
      <w:pStyle w:val="Header"/>
      <w:jc w:val="center"/>
      <w:rPr>
        <w:rFonts w:ascii="Times New Roman Bold" w:hAnsi="Times New Roman Bold"/>
        <w:b/>
        <w:caps/>
      </w:rPr>
    </w:pPr>
  </w:p>
  <w:p w:rsidR="00551557" w:rsidRPr="00D4651F" w:rsidRDefault="000A7507">
    <w:pPr>
      <w:pStyle w:val="Header"/>
      <w:jc w:val="center"/>
      <w:rPr>
        <w:rFonts w:ascii="Times New Roman Bold" w:hAnsi="Times New Roman Bold"/>
        <w:b/>
        <w:caps/>
      </w:rPr>
    </w:pPr>
    <w:r>
      <w:rPr>
        <w:rFonts w:ascii="Times New Roman Bold" w:hAnsi="Times New Roman Bold"/>
        <w:b/>
        <w:caps/>
      </w:rPr>
      <w:t>Port of Alsea</w:t>
    </w:r>
    <w:r w:rsidR="00D4651F" w:rsidRPr="00D4651F">
      <w:rPr>
        <w:rFonts w:ascii="Times New Roman Bold" w:hAnsi="Times New Roman Bold"/>
        <w:b/>
        <w:caps/>
      </w:rPr>
      <w:t xml:space="preserve"> </w:t>
    </w:r>
    <w:r w:rsidR="00D4651F">
      <w:rPr>
        <w:rFonts w:ascii="Times New Roman Bold" w:hAnsi="Times New Roman Bold"/>
        <w:b/>
        <w:caps/>
      </w:rPr>
      <w:br/>
    </w:r>
  </w:p>
  <w:p w:rsidR="00551557" w:rsidRDefault="00CE5A71">
    <w:pPr>
      <w:pStyle w:val="Header"/>
      <w:jc w:val="center"/>
      <w:rPr>
        <w:b/>
      </w:rPr>
    </w:pPr>
    <w:r>
      <w:rPr>
        <w:b/>
      </w:rPr>
      <w:t xml:space="preserve">TAX-EXEMPT BOND POST-ISSUANCE COMPLIANCE </w:t>
    </w:r>
    <w:r w:rsidR="003A03DE">
      <w:rPr>
        <w:b/>
      </w:rPr>
      <w:t>PROCEDURES</w:t>
    </w:r>
    <w:r w:rsidR="00E37929">
      <w:rPr>
        <w:b/>
      </w:rPr>
      <w:br/>
    </w:r>
    <w:r w:rsidR="00E37929" w:rsidRPr="007C6E83">
      <w:rPr>
        <w:b/>
      </w:rPr>
      <w:t xml:space="preserve">(adopted </w:t>
    </w:r>
    <w:r w:rsidR="00B00B57">
      <w:rPr>
        <w:b/>
      </w:rPr>
      <w:t>06</w:t>
    </w:r>
    <w:r w:rsidR="0007338F" w:rsidRPr="007C6E83">
      <w:rPr>
        <w:b/>
      </w:rPr>
      <w:t>/</w:t>
    </w:r>
    <w:r w:rsidR="00B00B57">
      <w:rPr>
        <w:b/>
      </w:rPr>
      <w:t>28</w:t>
    </w:r>
    <w:r w:rsidR="0007338F" w:rsidRPr="007C6E83">
      <w:rPr>
        <w:b/>
      </w:rPr>
      <w:t>/2018</w:t>
    </w:r>
    <w:r w:rsidR="00E37929" w:rsidRPr="007C6E83">
      <w:rPr>
        <w:b/>
      </w:rPr>
      <w:t>)</w:t>
    </w:r>
    <w:r w:rsidR="004F038C">
      <w:rPr>
        <w:b/>
      </w:rPr>
      <w:br/>
    </w:r>
  </w:p>
  <w:p w:rsidR="00551557" w:rsidRDefault="005E7D1D" w:rsidP="00EB674A">
    <w:pPr>
      <w:pStyle w:val="Header"/>
      <w:jc w:val="center"/>
    </w:pPr>
  </w:p>
  <w:p w:rsidR="00551557" w:rsidRDefault="00CE5A71" w:rsidP="007069A7">
    <w:pPr>
      <w:pStyle w:val="Header"/>
      <w:rPr>
        <w:u w:val="single"/>
      </w:rPr>
    </w:pPr>
    <w:r>
      <w:rPr>
        <w:u w:val="single"/>
      </w:rPr>
      <w:tab/>
    </w:r>
    <w:r w:rsidR="00D4651F">
      <w:rPr>
        <w:u w:val="single"/>
      </w:rPr>
      <w:tab/>
    </w:r>
    <w:r w:rsidR="00EF22D6">
      <w:rPr>
        <w:u w:val="single"/>
      </w:rPr>
      <w:tab/>
    </w:r>
  </w:p>
  <w:p w:rsidR="00551557" w:rsidRPr="007069A7" w:rsidRDefault="005E7D1D" w:rsidP="007069A7">
    <w:pPr>
      <w:pStyle w:val="Header"/>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0CFC8C4A"/>
    <w:lvl w:ilvl="0">
      <w:start w:val="1"/>
      <w:numFmt w:val="bullet"/>
      <w:lvlText w:val=""/>
      <w:lvlJc w:val="left"/>
      <w:pPr>
        <w:tabs>
          <w:tab w:val="num" w:pos="1080"/>
        </w:tabs>
        <w:ind w:left="1080" w:hanging="360"/>
      </w:pPr>
      <w:rPr>
        <w:rFonts w:ascii="Symbol" w:hAnsi="Symbol" w:hint="default"/>
      </w:rPr>
    </w:lvl>
  </w:abstractNum>
  <w:abstractNum w:abstractNumId="1">
    <w:nsid w:val="05566A2D"/>
    <w:multiLevelType w:val="hybridMultilevel"/>
    <w:tmpl w:val="6A7C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404BF1"/>
    <w:multiLevelType w:val="multilevel"/>
    <w:tmpl w:val="6C0ED46C"/>
    <w:lvl w:ilvl="0">
      <w:start w:val="1"/>
      <w:numFmt w:val="decimal"/>
      <w:pStyle w:val="pge1"/>
      <w:suff w:val="nothing"/>
      <w:lvlText w:val="Section %1.   "/>
      <w:lvlJc w:val="left"/>
      <w:pPr>
        <w:ind w:left="360" w:hanging="360"/>
      </w:pPr>
      <w:rPr>
        <w:rFonts w:ascii="Times New Roman Bold" w:hAnsi="Times New Roman Bold" w:hint="default"/>
        <w:b/>
        <w:i w:val="0"/>
        <w:caps/>
        <w:sz w:val="22"/>
        <w:szCs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nsid w:val="1E5B4174"/>
    <w:multiLevelType w:val="hybridMultilevel"/>
    <w:tmpl w:val="29CE1D96"/>
    <w:lvl w:ilvl="0" w:tplc="04090001">
      <w:start w:val="1"/>
      <w:numFmt w:val="bullet"/>
      <w:lvlText w:val=""/>
      <w:lvlJc w:val="left"/>
      <w:pPr>
        <w:tabs>
          <w:tab w:val="num" w:pos="1440"/>
        </w:tabs>
        <w:ind w:left="1440" w:hanging="360"/>
      </w:pPr>
      <w:rPr>
        <w:rFonts w:ascii="Symbol" w:hAnsi="Symbol" w:hint="default"/>
        <w:sz w:val="2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225E35EB"/>
    <w:multiLevelType w:val="multilevel"/>
    <w:tmpl w:val="A3D0D38E"/>
    <w:lvl w:ilvl="0">
      <w:start w:val="1"/>
      <w:numFmt w:val="decimal"/>
      <w:pStyle w:val="pge2"/>
      <w:suff w:val="nothing"/>
      <w:lvlText w:val="Section %1   "/>
      <w:lvlJc w:val="left"/>
      <w:pPr>
        <w:ind w:left="-360" w:hanging="360"/>
      </w:pPr>
      <w:rPr>
        <w:rFonts w:ascii="Times New Roman Bold" w:hAnsi="Times New Roman Bold" w:hint="default"/>
        <w:b/>
        <w:i w:val="0"/>
        <w:caps/>
        <w:sz w:val="24"/>
        <w:szCs w:val="24"/>
      </w:rPr>
    </w:lvl>
    <w:lvl w:ilvl="1">
      <w:start w:val="1"/>
      <w:numFmt w:val="lowerLetter"/>
      <w:pStyle w:val="pge2"/>
      <w:lvlText w:val="%2."/>
      <w:lvlJc w:val="left"/>
      <w:pPr>
        <w:tabs>
          <w:tab w:val="num" w:pos="1710"/>
        </w:tabs>
        <w:ind w:left="1710" w:firstLine="0"/>
      </w:pPr>
      <w:rPr>
        <w:rFonts w:ascii="Times New Roman" w:hAnsi="Times New Roman" w:hint="default"/>
        <w:b w:val="0"/>
        <w:i w:val="0"/>
        <w:sz w:val="22"/>
        <w:szCs w:val="22"/>
      </w:rPr>
    </w:lvl>
    <w:lvl w:ilvl="2">
      <w:start w:val="1"/>
      <w:numFmt w:val="lowerRoman"/>
      <w:lvlText w:val="%3)"/>
      <w:lvlJc w:val="left"/>
      <w:pPr>
        <w:tabs>
          <w:tab w:val="num" w:pos="360"/>
        </w:tabs>
        <w:ind w:left="360" w:hanging="36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nsid w:val="24F630D1"/>
    <w:multiLevelType w:val="multilevel"/>
    <w:tmpl w:val="0914AAF6"/>
    <w:lvl w:ilvl="0">
      <w:start w:val="1"/>
      <w:numFmt w:val="decimal"/>
      <w:suff w:val="nothing"/>
      <w:lvlText w:val="Section %1   "/>
      <w:lvlJc w:val="left"/>
      <w:pPr>
        <w:ind w:left="360" w:hanging="360"/>
      </w:pPr>
      <w:rPr>
        <w:rFonts w:ascii="Times New Roman Bold" w:hAnsi="Times New Roman Bold" w:hint="default"/>
        <w:b/>
        <w:i w:val="0"/>
        <w:caps/>
        <w:sz w:val="24"/>
        <w:szCs w:val="24"/>
      </w:rPr>
    </w:lvl>
    <w:lvl w:ilvl="1">
      <w:start w:val="1"/>
      <w:numFmt w:val="lowerLetter"/>
      <w:lvlText w:val="%2."/>
      <w:lvlJc w:val="left"/>
      <w:pPr>
        <w:tabs>
          <w:tab w:val="num" w:pos="720"/>
        </w:tabs>
        <w:ind w:left="720" w:hanging="360"/>
      </w:pPr>
      <w:rPr>
        <w:rFonts w:ascii="Times New Roman" w:hAnsi="Times New Roman" w:hint="default"/>
        <w:b w:val="0"/>
        <w:i w:val="0"/>
        <w:sz w:val="24"/>
        <w:szCs w:val="24"/>
      </w:rPr>
    </w:lvl>
    <w:lvl w:ilvl="2">
      <w:start w:val="1"/>
      <w:numFmt w:val="lowerRoman"/>
      <w:pStyle w:val="pge3"/>
      <w:lvlText w:val="%3."/>
      <w:lvlJc w:val="left"/>
      <w:pPr>
        <w:tabs>
          <w:tab w:val="num" w:pos="1440"/>
        </w:tabs>
        <w:ind w:left="2160" w:hanging="72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nsid w:val="58A46462"/>
    <w:multiLevelType w:val="multilevel"/>
    <w:tmpl w:val="CC2A061C"/>
    <w:lvl w:ilvl="0">
      <w:start w:val="1"/>
      <w:numFmt w:val="decimal"/>
      <w:lvlText w:val="%1."/>
      <w:lvlJc w:val="left"/>
      <w:pPr>
        <w:tabs>
          <w:tab w:val="num" w:pos="2160"/>
        </w:tabs>
        <w:ind w:left="1440" w:firstLine="720"/>
      </w:pPr>
      <w:rPr>
        <w:rFonts w:hint="default"/>
      </w:rPr>
    </w:lvl>
    <w:lvl w:ilvl="1">
      <w:start w:val="1"/>
      <w:numFmt w:val="upperLetter"/>
      <w:lvlText w:val="%2 - "/>
      <w:lvlJc w:val="left"/>
      <w:pPr>
        <w:tabs>
          <w:tab w:val="num" w:pos="2520"/>
        </w:tabs>
        <w:ind w:left="2160" w:firstLine="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600"/>
        </w:tabs>
        <w:ind w:left="3600" w:hanging="36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320"/>
        </w:tabs>
        <w:ind w:left="4320" w:hanging="360"/>
      </w:pPr>
      <w:rPr>
        <w:rFonts w:hint="default"/>
      </w:rPr>
    </w:lvl>
    <w:lvl w:ilvl="8">
      <w:start w:val="1"/>
      <w:numFmt w:val="lowerRoman"/>
      <w:lvlText w:val="%9."/>
      <w:lvlJc w:val="left"/>
      <w:pPr>
        <w:tabs>
          <w:tab w:val="num" w:pos="4680"/>
        </w:tabs>
        <w:ind w:left="4680" w:hanging="360"/>
      </w:pPr>
      <w:rPr>
        <w:rFonts w:hint="default"/>
      </w:rPr>
    </w:lvl>
  </w:abstractNum>
  <w:abstractNum w:abstractNumId="7">
    <w:nsid w:val="626C1EEE"/>
    <w:multiLevelType w:val="multilevel"/>
    <w:tmpl w:val="7B18CA9E"/>
    <w:lvl w:ilvl="0">
      <w:start w:val="1"/>
      <w:numFmt w:val="decimal"/>
      <w:suff w:val="nothing"/>
      <w:lvlText w:val="Section %1   "/>
      <w:lvlJc w:val="left"/>
      <w:pPr>
        <w:ind w:left="-360" w:hanging="360"/>
      </w:pPr>
      <w:rPr>
        <w:rFonts w:ascii="Times New Roman Bold" w:hAnsi="Times New Roman Bold" w:hint="default"/>
        <w:b/>
        <w:i w:val="0"/>
        <w:caps/>
        <w:sz w:val="24"/>
        <w:szCs w:val="24"/>
      </w:rPr>
    </w:lvl>
    <w:lvl w:ilvl="1">
      <w:start w:val="1"/>
      <w:numFmt w:val="lowerLetter"/>
      <w:lvlText w:val="%2."/>
      <w:lvlJc w:val="left"/>
      <w:pPr>
        <w:tabs>
          <w:tab w:val="num" w:pos="0"/>
        </w:tabs>
        <w:ind w:left="0" w:firstLine="0"/>
      </w:pPr>
      <w:rPr>
        <w:rFonts w:ascii="Times New Roman" w:hAnsi="Times New Roman" w:hint="default"/>
        <w:b w:val="0"/>
        <w:i w:val="0"/>
        <w:sz w:val="24"/>
        <w:szCs w:val="24"/>
      </w:rPr>
    </w:lvl>
    <w:lvl w:ilvl="2">
      <w:start w:val="1"/>
      <w:numFmt w:val="lowerRoman"/>
      <w:lvlText w:val="%3)"/>
      <w:lvlJc w:val="left"/>
      <w:pPr>
        <w:tabs>
          <w:tab w:val="num" w:pos="360"/>
        </w:tabs>
        <w:ind w:left="360" w:hanging="36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num w:numId="1">
    <w:abstractNumId w:val="6"/>
  </w:num>
  <w:num w:numId="2">
    <w:abstractNumId w:val="2"/>
  </w:num>
  <w:num w:numId="3">
    <w:abstractNumId w:val="5"/>
  </w:num>
  <w:num w:numId="4">
    <w:abstractNumId w:val="4"/>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3"/>
  </w:num>
  <w:num w:numId="18">
    <w:abstractNumId w:val="1"/>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1269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WDocIDLayout" w:val="5"/>
    <w:docVar w:name="SWDocIDLocation" w:val="1"/>
    <w:docVar w:name="SWInitialSave" w:val="-1"/>
  </w:docVars>
  <w:rsids>
    <w:rsidRoot w:val="00AE6604"/>
    <w:rsid w:val="000027FD"/>
    <w:rsid w:val="000104D1"/>
    <w:rsid w:val="000129DB"/>
    <w:rsid w:val="000135DD"/>
    <w:rsid w:val="000149D2"/>
    <w:rsid w:val="00014F4F"/>
    <w:rsid w:val="000159A5"/>
    <w:rsid w:val="00017293"/>
    <w:rsid w:val="000258B4"/>
    <w:rsid w:val="000272DF"/>
    <w:rsid w:val="00037030"/>
    <w:rsid w:val="00042C91"/>
    <w:rsid w:val="00061749"/>
    <w:rsid w:val="00071432"/>
    <w:rsid w:val="0007338F"/>
    <w:rsid w:val="00075956"/>
    <w:rsid w:val="00075AB8"/>
    <w:rsid w:val="00077B3E"/>
    <w:rsid w:val="00077F05"/>
    <w:rsid w:val="00087712"/>
    <w:rsid w:val="0009153F"/>
    <w:rsid w:val="0009682D"/>
    <w:rsid w:val="000A47E2"/>
    <w:rsid w:val="000A7507"/>
    <w:rsid w:val="000B126B"/>
    <w:rsid w:val="000C1533"/>
    <w:rsid w:val="000C2194"/>
    <w:rsid w:val="000C55CB"/>
    <w:rsid w:val="000E10FC"/>
    <w:rsid w:val="000E159D"/>
    <w:rsid w:val="000E1DDE"/>
    <w:rsid w:val="000E3653"/>
    <w:rsid w:val="000E4B3D"/>
    <w:rsid w:val="000F095A"/>
    <w:rsid w:val="000F2B90"/>
    <w:rsid w:val="000F537D"/>
    <w:rsid w:val="0010549D"/>
    <w:rsid w:val="00123EDB"/>
    <w:rsid w:val="00143776"/>
    <w:rsid w:val="00153FE0"/>
    <w:rsid w:val="00155449"/>
    <w:rsid w:val="00163543"/>
    <w:rsid w:val="001653E8"/>
    <w:rsid w:val="00166181"/>
    <w:rsid w:val="00174591"/>
    <w:rsid w:val="0018354B"/>
    <w:rsid w:val="00186B5B"/>
    <w:rsid w:val="001953B3"/>
    <w:rsid w:val="001A0259"/>
    <w:rsid w:val="001A3913"/>
    <w:rsid w:val="001A65A7"/>
    <w:rsid w:val="001B3606"/>
    <w:rsid w:val="001B7EF7"/>
    <w:rsid w:val="001C0E18"/>
    <w:rsid w:val="001C5299"/>
    <w:rsid w:val="001D3F16"/>
    <w:rsid w:val="001E0723"/>
    <w:rsid w:val="001E09C7"/>
    <w:rsid w:val="001E370B"/>
    <w:rsid w:val="001E65B7"/>
    <w:rsid w:val="001F346D"/>
    <w:rsid w:val="001F4E9C"/>
    <w:rsid w:val="001F7045"/>
    <w:rsid w:val="001F7821"/>
    <w:rsid w:val="00205485"/>
    <w:rsid w:val="00206AF4"/>
    <w:rsid w:val="002071B9"/>
    <w:rsid w:val="00210327"/>
    <w:rsid w:val="00213DC7"/>
    <w:rsid w:val="00214FFB"/>
    <w:rsid w:val="00217472"/>
    <w:rsid w:val="00226D8D"/>
    <w:rsid w:val="00234426"/>
    <w:rsid w:val="00236ABA"/>
    <w:rsid w:val="00242C43"/>
    <w:rsid w:val="00246ED8"/>
    <w:rsid w:val="00250C0A"/>
    <w:rsid w:val="0025356A"/>
    <w:rsid w:val="00256DBE"/>
    <w:rsid w:val="00261E15"/>
    <w:rsid w:val="00265164"/>
    <w:rsid w:val="00265D93"/>
    <w:rsid w:val="00267749"/>
    <w:rsid w:val="002703B4"/>
    <w:rsid w:val="0027696D"/>
    <w:rsid w:val="002847EF"/>
    <w:rsid w:val="002864CB"/>
    <w:rsid w:val="00286A96"/>
    <w:rsid w:val="00292C61"/>
    <w:rsid w:val="002970AE"/>
    <w:rsid w:val="002A5B3A"/>
    <w:rsid w:val="002B0DEE"/>
    <w:rsid w:val="002B237A"/>
    <w:rsid w:val="002B6451"/>
    <w:rsid w:val="002C2AA1"/>
    <w:rsid w:val="002C3BD4"/>
    <w:rsid w:val="002C698B"/>
    <w:rsid w:val="002D4AB7"/>
    <w:rsid w:val="002D7284"/>
    <w:rsid w:val="002E508E"/>
    <w:rsid w:val="002E5831"/>
    <w:rsid w:val="002E6EDA"/>
    <w:rsid w:val="002F1B15"/>
    <w:rsid w:val="002F279A"/>
    <w:rsid w:val="002F416A"/>
    <w:rsid w:val="0030239F"/>
    <w:rsid w:val="00303AD1"/>
    <w:rsid w:val="00310158"/>
    <w:rsid w:val="003140FE"/>
    <w:rsid w:val="00316EBD"/>
    <w:rsid w:val="00322606"/>
    <w:rsid w:val="00337256"/>
    <w:rsid w:val="00340E1C"/>
    <w:rsid w:val="003453BE"/>
    <w:rsid w:val="00351B54"/>
    <w:rsid w:val="003569DB"/>
    <w:rsid w:val="00357448"/>
    <w:rsid w:val="003732D2"/>
    <w:rsid w:val="003842C4"/>
    <w:rsid w:val="00387723"/>
    <w:rsid w:val="00387A4A"/>
    <w:rsid w:val="00390A1A"/>
    <w:rsid w:val="0039368C"/>
    <w:rsid w:val="00394498"/>
    <w:rsid w:val="003A03DE"/>
    <w:rsid w:val="003A5C7E"/>
    <w:rsid w:val="003B091F"/>
    <w:rsid w:val="003B2A40"/>
    <w:rsid w:val="003B400F"/>
    <w:rsid w:val="003C4FFF"/>
    <w:rsid w:val="003D279E"/>
    <w:rsid w:val="003E7A35"/>
    <w:rsid w:val="003F407F"/>
    <w:rsid w:val="003F62EB"/>
    <w:rsid w:val="003F7C9D"/>
    <w:rsid w:val="00401C59"/>
    <w:rsid w:val="0040432C"/>
    <w:rsid w:val="004101DD"/>
    <w:rsid w:val="004116ED"/>
    <w:rsid w:val="00416A90"/>
    <w:rsid w:val="00417A9D"/>
    <w:rsid w:val="004204B3"/>
    <w:rsid w:val="00424967"/>
    <w:rsid w:val="00427067"/>
    <w:rsid w:val="00437882"/>
    <w:rsid w:val="00443A32"/>
    <w:rsid w:val="004504FD"/>
    <w:rsid w:val="00467612"/>
    <w:rsid w:val="00471078"/>
    <w:rsid w:val="004715EF"/>
    <w:rsid w:val="00481DC1"/>
    <w:rsid w:val="00481EF9"/>
    <w:rsid w:val="0049242A"/>
    <w:rsid w:val="00492AF3"/>
    <w:rsid w:val="004940A8"/>
    <w:rsid w:val="0049545E"/>
    <w:rsid w:val="004A0CA1"/>
    <w:rsid w:val="004A20CF"/>
    <w:rsid w:val="004A243B"/>
    <w:rsid w:val="004A3363"/>
    <w:rsid w:val="004B0753"/>
    <w:rsid w:val="004B24FC"/>
    <w:rsid w:val="004B2A07"/>
    <w:rsid w:val="004B374A"/>
    <w:rsid w:val="004D0022"/>
    <w:rsid w:val="004D2D06"/>
    <w:rsid w:val="004D30CC"/>
    <w:rsid w:val="004D794C"/>
    <w:rsid w:val="004E21EB"/>
    <w:rsid w:val="004E7F8F"/>
    <w:rsid w:val="004F038C"/>
    <w:rsid w:val="004F699B"/>
    <w:rsid w:val="004F7351"/>
    <w:rsid w:val="00503577"/>
    <w:rsid w:val="00520F1C"/>
    <w:rsid w:val="0052148B"/>
    <w:rsid w:val="00522DDD"/>
    <w:rsid w:val="00530EFE"/>
    <w:rsid w:val="00531298"/>
    <w:rsid w:val="0053400F"/>
    <w:rsid w:val="005469A7"/>
    <w:rsid w:val="00551C8B"/>
    <w:rsid w:val="00553E98"/>
    <w:rsid w:val="00554E74"/>
    <w:rsid w:val="00560166"/>
    <w:rsid w:val="00560D75"/>
    <w:rsid w:val="00562A87"/>
    <w:rsid w:val="005655D0"/>
    <w:rsid w:val="00574679"/>
    <w:rsid w:val="00593492"/>
    <w:rsid w:val="005A2C65"/>
    <w:rsid w:val="005A44CF"/>
    <w:rsid w:val="005A590B"/>
    <w:rsid w:val="005A7655"/>
    <w:rsid w:val="005A7D1F"/>
    <w:rsid w:val="005B44F3"/>
    <w:rsid w:val="005B532F"/>
    <w:rsid w:val="005C44E6"/>
    <w:rsid w:val="005C4B92"/>
    <w:rsid w:val="005D736E"/>
    <w:rsid w:val="005E0777"/>
    <w:rsid w:val="005E261F"/>
    <w:rsid w:val="005E2EB8"/>
    <w:rsid w:val="005E5E78"/>
    <w:rsid w:val="005E7D1D"/>
    <w:rsid w:val="005F406F"/>
    <w:rsid w:val="005F44C1"/>
    <w:rsid w:val="006006EC"/>
    <w:rsid w:val="00604959"/>
    <w:rsid w:val="00607B70"/>
    <w:rsid w:val="00610B9E"/>
    <w:rsid w:val="00611060"/>
    <w:rsid w:val="00615702"/>
    <w:rsid w:val="00617FA8"/>
    <w:rsid w:val="00621C49"/>
    <w:rsid w:val="00635C5B"/>
    <w:rsid w:val="00635FD4"/>
    <w:rsid w:val="00643370"/>
    <w:rsid w:val="0064478E"/>
    <w:rsid w:val="00645CE6"/>
    <w:rsid w:val="00663CC5"/>
    <w:rsid w:val="006724A0"/>
    <w:rsid w:val="00681AD1"/>
    <w:rsid w:val="00682C42"/>
    <w:rsid w:val="0068556B"/>
    <w:rsid w:val="006A049A"/>
    <w:rsid w:val="006A3305"/>
    <w:rsid w:val="006A530E"/>
    <w:rsid w:val="006B201B"/>
    <w:rsid w:val="006B2D79"/>
    <w:rsid w:val="006C6E96"/>
    <w:rsid w:val="006C74FA"/>
    <w:rsid w:val="006E4C21"/>
    <w:rsid w:val="006E5A1F"/>
    <w:rsid w:val="006E5E7F"/>
    <w:rsid w:val="00702949"/>
    <w:rsid w:val="0070331E"/>
    <w:rsid w:val="0071278D"/>
    <w:rsid w:val="007204F6"/>
    <w:rsid w:val="00723FF7"/>
    <w:rsid w:val="007241D3"/>
    <w:rsid w:val="00730588"/>
    <w:rsid w:val="007306AD"/>
    <w:rsid w:val="00737F20"/>
    <w:rsid w:val="00750E11"/>
    <w:rsid w:val="007520F8"/>
    <w:rsid w:val="00753E78"/>
    <w:rsid w:val="00754C1B"/>
    <w:rsid w:val="00757108"/>
    <w:rsid w:val="0076016B"/>
    <w:rsid w:val="007633DE"/>
    <w:rsid w:val="0076713C"/>
    <w:rsid w:val="0077245E"/>
    <w:rsid w:val="00780DDD"/>
    <w:rsid w:val="007811E7"/>
    <w:rsid w:val="00785476"/>
    <w:rsid w:val="00795C0C"/>
    <w:rsid w:val="007A005D"/>
    <w:rsid w:val="007A2576"/>
    <w:rsid w:val="007A28BE"/>
    <w:rsid w:val="007A2FD1"/>
    <w:rsid w:val="007A4898"/>
    <w:rsid w:val="007B0C22"/>
    <w:rsid w:val="007B410C"/>
    <w:rsid w:val="007B5AF3"/>
    <w:rsid w:val="007B5B2E"/>
    <w:rsid w:val="007B70A1"/>
    <w:rsid w:val="007C56E8"/>
    <w:rsid w:val="007C6E83"/>
    <w:rsid w:val="007C72F5"/>
    <w:rsid w:val="007D04FD"/>
    <w:rsid w:val="007D29DE"/>
    <w:rsid w:val="007D4646"/>
    <w:rsid w:val="007D54F8"/>
    <w:rsid w:val="007D6DEE"/>
    <w:rsid w:val="007E7B48"/>
    <w:rsid w:val="007E7E2C"/>
    <w:rsid w:val="007F4F3C"/>
    <w:rsid w:val="007F7BBC"/>
    <w:rsid w:val="00803791"/>
    <w:rsid w:val="00804C28"/>
    <w:rsid w:val="00811FA6"/>
    <w:rsid w:val="00815C2C"/>
    <w:rsid w:val="00825E83"/>
    <w:rsid w:val="008332A6"/>
    <w:rsid w:val="00834FD1"/>
    <w:rsid w:val="00837935"/>
    <w:rsid w:val="00837AB0"/>
    <w:rsid w:val="0085162A"/>
    <w:rsid w:val="00862668"/>
    <w:rsid w:val="008664F7"/>
    <w:rsid w:val="00871075"/>
    <w:rsid w:val="00872D56"/>
    <w:rsid w:val="00872D92"/>
    <w:rsid w:val="00873011"/>
    <w:rsid w:val="00873DA0"/>
    <w:rsid w:val="00874AC3"/>
    <w:rsid w:val="00886491"/>
    <w:rsid w:val="00894BF2"/>
    <w:rsid w:val="00895CA4"/>
    <w:rsid w:val="008A2A69"/>
    <w:rsid w:val="008C2A78"/>
    <w:rsid w:val="008C43C1"/>
    <w:rsid w:val="008C745A"/>
    <w:rsid w:val="008D320C"/>
    <w:rsid w:val="008D3E75"/>
    <w:rsid w:val="008D7FCE"/>
    <w:rsid w:val="008E1B33"/>
    <w:rsid w:val="008E40ED"/>
    <w:rsid w:val="008F4FC5"/>
    <w:rsid w:val="00900EBF"/>
    <w:rsid w:val="009056EC"/>
    <w:rsid w:val="00907C7A"/>
    <w:rsid w:val="009142B3"/>
    <w:rsid w:val="0091558F"/>
    <w:rsid w:val="0091760A"/>
    <w:rsid w:val="00921CC9"/>
    <w:rsid w:val="00921EEE"/>
    <w:rsid w:val="009228CA"/>
    <w:rsid w:val="00927BAC"/>
    <w:rsid w:val="009307E8"/>
    <w:rsid w:val="00933938"/>
    <w:rsid w:val="0093476B"/>
    <w:rsid w:val="009414F9"/>
    <w:rsid w:val="009531CC"/>
    <w:rsid w:val="00962CCB"/>
    <w:rsid w:val="00966C19"/>
    <w:rsid w:val="00966C2A"/>
    <w:rsid w:val="00967F2E"/>
    <w:rsid w:val="00971699"/>
    <w:rsid w:val="009740C8"/>
    <w:rsid w:val="00976F2A"/>
    <w:rsid w:val="00981E42"/>
    <w:rsid w:val="00986425"/>
    <w:rsid w:val="00994830"/>
    <w:rsid w:val="00996E7A"/>
    <w:rsid w:val="009A08AF"/>
    <w:rsid w:val="009A268A"/>
    <w:rsid w:val="009A5A9D"/>
    <w:rsid w:val="009B50FD"/>
    <w:rsid w:val="009B5EA3"/>
    <w:rsid w:val="009C060D"/>
    <w:rsid w:val="009C4981"/>
    <w:rsid w:val="009C59B1"/>
    <w:rsid w:val="009D617B"/>
    <w:rsid w:val="009D621D"/>
    <w:rsid w:val="009E64B7"/>
    <w:rsid w:val="009F248A"/>
    <w:rsid w:val="009F2959"/>
    <w:rsid w:val="009F4064"/>
    <w:rsid w:val="00A0134F"/>
    <w:rsid w:val="00A11AED"/>
    <w:rsid w:val="00A208A7"/>
    <w:rsid w:val="00A30A09"/>
    <w:rsid w:val="00A31E57"/>
    <w:rsid w:val="00A32196"/>
    <w:rsid w:val="00A33BD9"/>
    <w:rsid w:val="00A35128"/>
    <w:rsid w:val="00A366D2"/>
    <w:rsid w:val="00A51562"/>
    <w:rsid w:val="00A5262F"/>
    <w:rsid w:val="00A52814"/>
    <w:rsid w:val="00A52A1E"/>
    <w:rsid w:val="00A648AC"/>
    <w:rsid w:val="00A65F0C"/>
    <w:rsid w:val="00A82A80"/>
    <w:rsid w:val="00A85316"/>
    <w:rsid w:val="00A869EA"/>
    <w:rsid w:val="00A87068"/>
    <w:rsid w:val="00A93ECA"/>
    <w:rsid w:val="00A96AAE"/>
    <w:rsid w:val="00AB0693"/>
    <w:rsid w:val="00AB1CC2"/>
    <w:rsid w:val="00AB2358"/>
    <w:rsid w:val="00AB3886"/>
    <w:rsid w:val="00AC0FC8"/>
    <w:rsid w:val="00AC3C35"/>
    <w:rsid w:val="00AC4994"/>
    <w:rsid w:val="00AC60DF"/>
    <w:rsid w:val="00AD2CB8"/>
    <w:rsid w:val="00AD4826"/>
    <w:rsid w:val="00AE1846"/>
    <w:rsid w:val="00AE51E5"/>
    <w:rsid w:val="00AE6604"/>
    <w:rsid w:val="00AF157A"/>
    <w:rsid w:val="00AF2751"/>
    <w:rsid w:val="00AF3A85"/>
    <w:rsid w:val="00AF7D21"/>
    <w:rsid w:val="00B00B57"/>
    <w:rsid w:val="00B02D96"/>
    <w:rsid w:val="00B03299"/>
    <w:rsid w:val="00B063FD"/>
    <w:rsid w:val="00B17277"/>
    <w:rsid w:val="00B211D9"/>
    <w:rsid w:val="00B25593"/>
    <w:rsid w:val="00B27CA3"/>
    <w:rsid w:val="00B361FE"/>
    <w:rsid w:val="00B41204"/>
    <w:rsid w:val="00B449E2"/>
    <w:rsid w:val="00B45651"/>
    <w:rsid w:val="00B46925"/>
    <w:rsid w:val="00B55F4E"/>
    <w:rsid w:val="00B57FBD"/>
    <w:rsid w:val="00B60742"/>
    <w:rsid w:val="00B669C9"/>
    <w:rsid w:val="00B70D88"/>
    <w:rsid w:val="00B731B1"/>
    <w:rsid w:val="00B73F21"/>
    <w:rsid w:val="00B9484B"/>
    <w:rsid w:val="00B94AB7"/>
    <w:rsid w:val="00B94CC2"/>
    <w:rsid w:val="00BC55F7"/>
    <w:rsid w:val="00BC7089"/>
    <w:rsid w:val="00BD184B"/>
    <w:rsid w:val="00BD1C92"/>
    <w:rsid w:val="00BD3719"/>
    <w:rsid w:val="00BE6580"/>
    <w:rsid w:val="00BE6B6C"/>
    <w:rsid w:val="00C01307"/>
    <w:rsid w:val="00C06DCD"/>
    <w:rsid w:val="00C20CCE"/>
    <w:rsid w:val="00C2790C"/>
    <w:rsid w:val="00C3011C"/>
    <w:rsid w:val="00C3027B"/>
    <w:rsid w:val="00C37C69"/>
    <w:rsid w:val="00C37C8F"/>
    <w:rsid w:val="00C406A8"/>
    <w:rsid w:val="00C40BF7"/>
    <w:rsid w:val="00C46A91"/>
    <w:rsid w:val="00C51EB8"/>
    <w:rsid w:val="00C5220B"/>
    <w:rsid w:val="00C60E8D"/>
    <w:rsid w:val="00C65E9D"/>
    <w:rsid w:val="00C73FF0"/>
    <w:rsid w:val="00C87B79"/>
    <w:rsid w:val="00C92075"/>
    <w:rsid w:val="00C95CDC"/>
    <w:rsid w:val="00C97A9A"/>
    <w:rsid w:val="00CA00E5"/>
    <w:rsid w:val="00CA10AA"/>
    <w:rsid w:val="00CE15B9"/>
    <w:rsid w:val="00CE26A2"/>
    <w:rsid w:val="00CE5A71"/>
    <w:rsid w:val="00CF3D01"/>
    <w:rsid w:val="00CF6AC9"/>
    <w:rsid w:val="00D33C45"/>
    <w:rsid w:val="00D37666"/>
    <w:rsid w:val="00D37861"/>
    <w:rsid w:val="00D459B0"/>
    <w:rsid w:val="00D4651F"/>
    <w:rsid w:val="00D548D1"/>
    <w:rsid w:val="00D62536"/>
    <w:rsid w:val="00D64958"/>
    <w:rsid w:val="00D67D99"/>
    <w:rsid w:val="00D748C7"/>
    <w:rsid w:val="00D77E65"/>
    <w:rsid w:val="00D856AE"/>
    <w:rsid w:val="00D93FD9"/>
    <w:rsid w:val="00D956F8"/>
    <w:rsid w:val="00DA1671"/>
    <w:rsid w:val="00DA501A"/>
    <w:rsid w:val="00DA68D3"/>
    <w:rsid w:val="00DB2324"/>
    <w:rsid w:val="00DB3EF2"/>
    <w:rsid w:val="00DC4A77"/>
    <w:rsid w:val="00DC5DC8"/>
    <w:rsid w:val="00DD1A29"/>
    <w:rsid w:val="00DD4455"/>
    <w:rsid w:val="00DD564B"/>
    <w:rsid w:val="00DD7172"/>
    <w:rsid w:val="00DE6C7E"/>
    <w:rsid w:val="00DF05B3"/>
    <w:rsid w:val="00E146ED"/>
    <w:rsid w:val="00E14A11"/>
    <w:rsid w:val="00E14F5F"/>
    <w:rsid w:val="00E224BF"/>
    <w:rsid w:val="00E27DA6"/>
    <w:rsid w:val="00E31589"/>
    <w:rsid w:val="00E347E9"/>
    <w:rsid w:val="00E37929"/>
    <w:rsid w:val="00E37C7B"/>
    <w:rsid w:val="00E425A8"/>
    <w:rsid w:val="00E52840"/>
    <w:rsid w:val="00E60178"/>
    <w:rsid w:val="00E61CF9"/>
    <w:rsid w:val="00E718C9"/>
    <w:rsid w:val="00E74A44"/>
    <w:rsid w:val="00E81B4D"/>
    <w:rsid w:val="00E81BC1"/>
    <w:rsid w:val="00E8493A"/>
    <w:rsid w:val="00E8740F"/>
    <w:rsid w:val="00E87B88"/>
    <w:rsid w:val="00E9084A"/>
    <w:rsid w:val="00E937E9"/>
    <w:rsid w:val="00EA0245"/>
    <w:rsid w:val="00EA1E31"/>
    <w:rsid w:val="00EA7471"/>
    <w:rsid w:val="00EB5708"/>
    <w:rsid w:val="00EB71E2"/>
    <w:rsid w:val="00ED0A84"/>
    <w:rsid w:val="00ED2100"/>
    <w:rsid w:val="00ED3AB6"/>
    <w:rsid w:val="00ED3DFD"/>
    <w:rsid w:val="00ED44FC"/>
    <w:rsid w:val="00ED638A"/>
    <w:rsid w:val="00ED788E"/>
    <w:rsid w:val="00EE1B4B"/>
    <w:rsid w:val="00EE4890"/>
    <w:rsid w:val="00EF222B"/>
    <w:rsid w:val="00EF22D6"/>
    <w:rsid w:val="00EF658F"/>
    <w:rsid w:val="00EF715F"/>
    <w:rsid w:val="00F00B5A"/>
    <w:rsid w:val="00F0742F"/>
    <w:rsid w:val="00F0797B"/>
    <w:rsid w:val="00F14592"/>
    <w:rsid w:val="00F174D0"/>
    <w:rsid w:val="00F17749"/>
    <w:rsid w:val="00F2779F"/>
    <w:rsid w:val="00F43228"/>
    <w:rsid w:val="00F45EBF"/>
    <w:rsid w:val="00F4699A"/>
    <w:rsid w:val="00F51B16"/>
    <w:rsid w:val="00F570CD"/>
    <w:rsid w:val="00F65695"/>
    <w:rsid w:val="00F729B4"/>
    <w:rsid w:val="00F730B1"/>
    <w:rsid w:val="00F7527B"/>
    <w:rsid w:val="00F75B25"/>
    <w:rsid w:val="00F80CE4"/>
    <w:rsid w:val="00F825B7"/>
    <w:rsid w:val="00F85D25"/>
    <w:rsid w:val="00F8653C"/>
    <w:rsid w:val="00F92B30"/>
    <w:rsid w:val="00FA0BB4"/>
    <w:rsid w:val="00FA3F75"/>
    <w:rsid w:val="00FA467C"/>
    <w:rsid w:val="00FB462C"/>
    <w:rsid w:val="00FB4786"/>
    <w:rsid w:val="00FB4CE8"/>
    <w:rsid w:val="00FB638F"/>
    <w:rsid w:val="00FB7586"/>
    <w:rsid w:val="00FC633D"/>
    <w:rsid w:val="00FC69C4"/>
    <w:rsid w:val="00FD6D5C"/>
    <w:rsid w:val="00FE073B"/>
    <w:rsid w:val="00FE69FF"/>
    <w:rsid w:val="00FF1871"/>
    <w:rsid w:val="00FF3519"/>
    <w:rsid w:val="00FF3BE5"/>
    <w:rsid w:val="00FF5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269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2"/>
      <w:szCs w:val="24"/>
    </w:rPr>
  </w:style>
  <w:style w:type="paragraph" w:styleId="Heading1">
    <w:name w:val="heading 1"/>
    <w:basedOn w:val="Normal"/>
    <w:next w:val="Normal"/>
    <w:qFormat/>
    <w:pPr>
      <w:spacing w:after="360"/>
      <w:jc w:val="center"/>
      <w:outlineLvl w:val="0"/>
    </w:pPr>
    <w:rPr>
      <w:rFonts w:ascii="Times New Roman Bold" w:hAnsi="Times New Roman Bold" w:cs="Arial"/>
      <w:b/>
      <w:bCs/>
      <w:caps/>
      <w:szCs w:val="22"/>
    </w:rPr>
  </w:style>
  <w:style w:type="paragraph" w:styleId="Heading2">
    <w:name w:val="heading 2"/>
    <w:basedOn w:val="Normal"/>
    <w:next w:val="Normal"/>
    <w:qFormat/>
    <w:pPr>
      <w:spacing w:after="240"/>
      <w:jc w:val="center"/>
      <w:outlineLvl w:val="1"/>
    </w:pPr>
    <w:rPr>
      <w:rFonts w:ascii="Times New Roman Bold" w:hAnsi="Times New Roman Bold" w:cs="Arial"/>
      <w:b/>
      <w:bCs/>
      <w:iCs/>
      <w:caps/>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Cs w:val="22"/>
    </w:rPr>
  </w:style>
  <w:style w:type="paragraph" w:styleId="Heading7">
    <w:name w:val="heading 7"/>
    <w:basedOn w:val="Normal"/>
    <w:next w:val="Normal"/>
    <w:qFormat/>
    <w:pPr>
      <w:spacing w:before="240" w:after="60"/>
      <w:outlineLvl w:val="6"/>
    </w:pPr>
    <w:rPr>
      <w:sz w:val="24"/>
    </w:rPr>
  </w:style>
  <w:style w:type="paragraph" w:styleId="Heading8">
    <w:name w:val="heading 8"/>
    <w:basedOn w:val="Normal"/>
    <w:next w:val="Normal"/>
    <w:qFormat/>
    <w:pPr>
      <w:spacing w:before="240" w:after="60"/>
      <w:outlineLvl w:val="7"/>
    </w:pPr>
    <w:rPr>
      <w:i/>
      <w:iCs/>
      <w:sz w:val="24"/>
    </w:rPr>
  </w:style>
  <w:style w:type="paragraph" w:styleId="Heading9">
    <w:name w:val="heading 9"/>
    <w:basedOn w:val="Normal"/>
    <w:next w:val="Normal"/>
    <w:qFormat/>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gBlock">
    <w:name w:val="SigBlock"/>
    <w:basedOn w:val="Normal"/>
    <w:next w:val="Normal"/>
    <w:pPr>
      <w:keepLines/>
      <w:ind w:left="4320"/>
    </w:pPr>
  </w:style>
  <w:style w:type="paragraph" w:customStyle="1" w:styleId="resnum">
    <w:name w:val="res num"/>
    <w:basedOn w:val="Normal"/>
    <w:pPr>
      <w:spacing w:after="240"/>
      <w:jc w:val="center"/>
    </w:pPr>
    <w:rPr>
      <w:rFonts w:ascii="Times New Roman Bold" w:hAnsi="Times New Roman Bold"/>
      <w:b/>
      <w:caps/>
    </w:rPr>
  </w:style>
  <w:style w:type="paragraph" w:customStyle="1" w:styleId="restitle">
    <w:name w:val="res title"/>
    <w:basedOn w:val="Normal"/>
    <w:pPr>
      <w:spacing w:after="480"/>
      <w:ind w:left="720" w:right="720"/>
      <w:jc w:val="both"/>
    </w:pPr>
    <w:rPr>
      <w:rFonts w:ascii="Times New Roman Bold" w:hAnsi="Times New Roman Bold"/>
      <w:b/>
      <w:caps/>
    </w:rPr>
  </w:style>
  <w:style w:type="paragraph" w:customStyle="1" w:styleId="para">
    <w:name w:val="para"/>
    <w:basedOn w:val="Normal"/>
    <w:pPr>
      <w:spacing w:after="240"/>
      <w:ind w:firstLine="720"/>
      <w:jc w:val="both"/>
    </w:pPr>
  </w:style>
  <w:style w:type="paragraph" w:customStyle="1" w:styleId="pge2">
    <w:name w:val="pge 2"/>
    <w:basedOn w:val="Normal"/>
    <w:link w:val="pge2CharChar"/>
    <w:pPr>
      <w:numPr>
        <w:ilvl w:val="1"/>
        <w:numId w:val="5"/>
      </w:numPr>
      <w:tabs>
        <w:tab w:val="clear" w:pos="1710"/>
        <w:tab w:val="num" w:pos="0"/>
      </w:tabs>
      <w:spacing w:after="240"/>
      <w:ind w:left="0"/>
      <w:jc w:val="both"/>
    </w:pPr>
  </w:style>
  <w:style w:type="paragraph" w:customStyle="1" w:styleId="pge3">
    <w:name w:val="pge 3"/>
    <w:basedOn w:val="Normal"/>
    <w:pPr>
      <w:numPr>
        <w:ilvl w:val="2"/>
        <w:numId w:val="3"/>
      </w:numPr>
      <w:spacing w:after="240"/>
      <w:jc w:val="both"/>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pge1">
    <w:name w:val="pge 1"/>
    <w:basedOn w:val="Normal"/>
    <w:pPr>
      <w:keepNext/>
      <w:numPr>
        <w:numId w:val="2"/>
      </w:numPr>
      <w:spacing w:after="240"/>
    </w:pPr>
    <w:rPr>
      <w:rFonts w:ascii="Times New Roman Bold" w:hAnsi="Times New Roman Bold"/>
      <w:b/>
      <w:caps/>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paragraph" w:customStyle="1" w:styleId="sig1">
    <w:name w:val="sig 1"/>
    <w:basedOn w:val="SigBlock"/>
    <w:pPr>
      <w:spacing w:after="720"/>
      <w:ind w:left="3600"/>
    </w:pPr>
    <w:rPr>
      <w:rFonts w:ascii="Times New Roman Bold" w:hAnsi="Times New Roman Bold"/>
      <w:b/>
      <w:bCs/>
      <w:caps/>
      <w:szCs w:val="22"/>
    </w:rPr>
  </w:style>
  <w:style w:type="paragraph" w:customStyle="1" w:styleId="whotitle">
    <w:name w:val="who &amp; title"/>
    <w:basedOn w:val="Normal"/>
    <w:pPr>
      <w:spacing w:after="480"/>
      <w:ind w:left="4320"/>
    </w:pPr>
  </w:style>
  <w:style w:type="paragraph" w:customStyle="1" w:styleId="adoptpara">
    <w:name w:val="adopt para"/>
    <w:basedOn w:val="Normal"/>
    <w:pPr>
      <w:spacing w:after="480"/>
      <w:ind w:firstLine="720"/>
      <w:jc w:val="both"/>
    </w:pPr>
  </w:style>
  <w:style w:type="paragraph" w:customStyle="1" w:styleId="Stylepge2Underline">
    <w:name w:val="Style pge 2 + Underline"/>
    <w:basedOn w:val="pge2"/>
    <w:link w:val="Stylepge2UnderlineChar"/>
    <w:pPr>
      <w:tabs>
        <w:tab w:val="clear" w:pos="0"/>
      </w:tabs>
    </w:pPr>
    <w:rPr>
      <w:u w:val="single"/>
    </w:rPr>
  </w:style>
  <w:style w:type="character" w:customStyle="1" w:styleId="pge2CharChar">
    <w:name w:val="pge 2 Char Char"/>
    <w:link w:val="pge2"/>
    <w:rPr>
      <w:sz w:val="22"/>
      <w:szCs w:val="24"/>
    </w:rPr>
  </w:style>
  <w:style w:type="character" w:customStyle="1" w:styleId="Stylepge2UnderlineChar">
    <w:name w:val="Style pge 2 + Underline Char"/>
    <w:link w:val="Stylepge2Underline"/>
    <w:rPr>
      <w:sz w:val="22"/>
      <w:szCs w:val="24"/>
      <w:u w:val="single"/>
      <w:lang w:val="en-US" w:eastAsia="en-US" w:bidi="ar-SA"/>
    </w:rPr>
  </w:style>
  <w:style w:type="paragraph" w:customStyle="1" w:styleId="by1">
    <w:name w:val="by1"/>
    <w:basedOn w:val="Normal"/>
    <w:pPr>
      <w:spacing w:after="120"/>
      <w:ind w:left="3600"/>
    </w:pPr>
  </w:style>
  <w:style w:type="paragraph" w:customStyle="1" w:styleId="attest">
    <w:name w:val="attest"/>
    <w:basedOn w:val="Normal"/>
    <w:pPr>
      <w:spacing w:after="720"/>
    </w:pPr>
  </w:style>
  <w:style w:type="paragraph" w:customStyle="1" w:styleId="by2">
    <w:name w:val="by2"/>
    <w:basedOn w:val="Normal"/>
    <w:pPr>
      <w:spacing w:after="120"/>
    </w:pPr>
  </w:style>
  <w:style w:type="character" w:customStyle="1" w:styleId="pge2Char">
    <w:name w:val="pge 2 Char"/>
    <w:rPr>
      <w:sz w:val="22"/>
      <w:szCs w:val="24"/>
      <w:lang w:val="en-US" w:eastAsia="en-US" w:bidi="ar-SA"/>
    </w:rPr>
  </w:style>
  <w:style w:type="character" w:customStyle="1" w:styleId="HeaderChar">
    <w:name w:val="Header Char"/>
    <w:link w:val="Header"/>
    <w:uiPriority w:val="99"/>
    <w:rsid w:val="000F095A"/>
    <w:rPr>
      <w:sz w:val="22"/>
      <w:szCs w:val="24"/>
    </w:rPr>
  </w:style>
  <w:style w:type="paragraph" w:styleId="FootnoteText">
    <w:name w:val="footnote text"/>
    <w:basedOn w:val="Normal"/>
    <w:link w:val="FootnoteTextChar"/>
    <w:rsid w:val="000F095A"/>
    <w:rPr>
      <w:sz w:val="20"/>
      <w:szCs w:val="20"/>
    </w:rPr>
  </w:style>
  <w:style w:type="character" w:customStyle="1" w:styleId="FootnoteTextChar">
    <w:name w:val="Footnote Text Char"/>
    <w:basedOn w:val="DefaultParagraphFont"/>
    <w:link w:val="FootnoteText"/>
    <w:rsid w:val="000F095A"/>
  </w:style>
  <w:style w:type="character" w:styleId="FootnoteReference">
    <w:name w:val="footnote reference"/>
    <w:uiPriority w:val="99"/>
    <w:unhideWhenUsed/>
    <w:rsid w:val="000F095A"/>
    <w:rPr>
      <w:vertAlign w:val="superscript"/>
    </w:rPr>
  </w:style>
  <w:style w:type="paragraph" w:styleId="BalloonText">
    <w:name w:val="Balloon Text"/>
    <w:basedOn w:val="Normal"/>
    <w:link w:val="BalloonTextChar"/>
    <w:rsid w:val="001B3606"/>
    <w:rPr>
      <w:rFonts w:ascii="Tahoma" w:hAnsi="Tahoma" w:cs="Tahoma"/>
      <w:sz w:val="16"/>
      <w:szCs w:val="16"/>
    </w:rPr>
  </w:style>
  <w:style w:type="character" w:customStyle="1" w:styleId="BalloonTextChar">
    <w:name w:val="Balloon Text Char"/>
    <w:basedOn w:val="DefaultParagraphFont"/>
    <w:link w:val="BalloonText"/>
    <w:rsid w:val="001B3606"/>
    <w:rPr>
      <w:rFonts w:ascii="Tahoma" w:hAnsi="Tahoma" w:cs="Tahoma"/>
      <w:sz w:val="16"/>
      <w:szCs w:val="16"/>
    </w:rPr>
  </w:style>
  <w:style w:type="character" w:customStyle="1" w:styleId="FooterChar">
    <w:name w:val="Footer Char"/>
    <w:basedOn w:val="DefaultParagraphFont"/>
    <w:link w:val="Footer"/>
    <w:rsid w:val="002E6EDA"/>
    <w:rPr>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2"/>
      <w:szCs w:val="24"/>
    </w:rPr>
  </w:style>
  <w:style w:type="paragraph" w:styleId="Heading1">
    <w:name w:val="heading 1"/>
    <w:basedOn w:val="Normal"/>
    <w:next w:val="Normal"/>
    <w:qFormat/>
    <w:pPr>
      <w:spacing w:after="360"/>
      <w:jc w:val="center"/>
      <w:outlineLvl w:val="0"/>
    </w:pPr>
    <w:rPr>
      <w:rFonts w:ascii="Times New Roman Bold" w:hAnsi="Times New Roman Bold" w:cs="Arial"/>
      <w:b/>
      <w:bCs/>
      <w:caps/>
      <w:szCs w:val="22"/>
    </w:rPr>
  </w:style>
  <w:style w:type="paragraph" w:styleId="Heading2">
    <w:name w:val="heading 2"/>
    <w:basedOn w:val="Normal"/>
    <w:next w:val="Normal"/>
    <w:qFormat/>
    <w:pPr>
      <w:spacing w:after="240"/>
      <w:jc w:val="center"/>
      <w:outlineLvl w:val="1"/>
    </w:pPr>
    <w:rPr>
      <w:rFonts w:ascii="Times New Roman Bold" w:hAnsi="Times New Roman Bold" w:cs="Arial"/>
      <w:b/>
      <w:bCs/>
      <w:iCs/>
      <w:caps/>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Cs w:val="22"/>
    </w:rPr>
  </w:style>
  <w:style w:type="paragraph" w:styleId="Heading7">
    <w:name w:val="heading 7"/>
    <w:basedOn w:val="Normal"/>
    <w:next w:val="Normal"/>
    <w:qFormat/>
    <w:pPr>
      <w:spacing w:before="240" w:after="60"/>
      <w:outlineLvl w:val="6"/>
    </w:pPr>
    <w:rPr>
      <w:sz w:val="24"/>
    </w:rPr>
  </w:style>
  <w:style w:type="paragraph" w:styleId="Heading8">
    <w:name w:val="heading 8"/>
    <w:basedOn w:val="Normal"/>
    <w:next w:val="Normal"/>
    <w:qFormat/>
    <w:pPr>
      <w:spacing w:before="240" w:after="60"/>
      <w:outlineLvl w:val="7"/>
    </w:pPr>
    <w:rPr>
      <w:i/>
      <w:iCs/>
      <w:sz w:val="24"/>
    </w:rPr>
  </w:style>
  <w:style w:type="paragraph" w:styleId="Heading9">
    <w:name w:val="heading 9"/>
    <w:basedOn w:val="Normal"/>
    <w:next w:val="Normal"/>
    <w:qFormat/>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gBlock">
    <w:name w:val="SigBlock"/>
    <w:basedOn w:val="Normal"/>
    <w:next w:val="Normal"/>
    <w:pPr>
      <w:keepLines/>
      <w:ind w:left="4320"/>
    </w:pPr>
  </w:style>
  <w:style w:type="paragraph" w:customStyle="1" w:styleId="resnum">
    <w:name w:val="res num"/>
    <w:basedOn w:val="Normal"/>
    <w:pPr>
      <w:spacing w:after="240"/>
      <w:jc w:val="center"/>
    </w:pPr>
    <w:rPr>
      <w:rFonts w:ascii="Times New Roman Bold" w:hAnsi="Times New Roman Bold"/>
      <w:b/>
      <w:caps/>
    </w:rPr>
  </w:style>
  <w:style w:type="paragraph" w:customStyle="1" w:styleId="restitle">
    <w:name w:val="res title"/>
    <w:basedOn w:val="Normal"/>
    <w:pPr>
      <w:spacing w:after="480"/>
      <w:ind w:left="720" w:right="720"/>
      <w:jc w:val="both"/>
    </w:pPr>
    <w:rPr>
      <w:rFonts w:ascii="Times New Roman Bold" w:hAnsi="Times New Roman Bold"/>
      <w:b/>
      <w:caps/>
    </w:rPr>
  </w:style>
  <w:style w:type="paragraph" w:customStyle="1" w:styleId="para">
    <w:name w:val="para"/>
    <w:basedOn w:val="Normal"/>
    <w:pPr>
      <w:spacing w:after="240"/>
      <w:ind w:firstLine="720"/>
      <w:jc w:val="both"/>
    </w:pPr>
  </w:style>
  <w:style w:type="paragraph" w:customStyle="1" w:styleId="pge2">
    <w:name w:val="pge 2"/>
    <w:basedOn w:val="Normal"/>
    <w:link w:val="pge2CharChar"/>
    <w:pPr>
      <w:numPr>
        <w:ilvl w:val="1"/>
        <w:numId w:val="5"/>
      </w:numPr>
      <w:tabs>
        <w:tab w:val="clear" w:pos="1710"/>
        <w:tab w:val="num" w:pos="0"/>
      </w:tabs>
      <w:spacing w:after="240"/>
      <w:ind w:left="0"/>
      <w:jc w:val="both"/>
    </w:pPr>
  </w:style>
  <w:style w:type="paragraph" w:customStyle="1" w:styleId="pge3">
    <w:name w:val="pge 3"/>
    <w:basedOn w:val="Normal"/>
    <w:pPr>
      <w:numPr>
        <w:ilvl w:val="2"/>
        <w:numId w:val="3"/>
      </w:numPr>
      <w:spacing w:after="240"/>
      <w:jc w:val="both"/>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pge1">
    <w:name w:val="pge 1"/>
    <w:basedOn w:val="Normal"/>
    <w:pPr>
      <w:keepNext/>
      <w:numPr>
        <w:numId w:val="2"/>
      </w:numPr>
      <w:spacing w:after="240"/>
    </w:pPr>
    <w:rPr>
      <w:rFonts w:ascii="Times New Roman Bold" w:hAnsi="Times New Roman Bold"/>
      <w:b/>
      <w:caps/>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paragraph" w:customStyle="1" w:styleId="sig1">
    <w:name w:val="sig 1"/>
    <w:basedOn w:val="SigBlock"/>
    <w:pPr>
      <w:spacing w:after="720"/>
      <w:ind w:left="3600"/>
    </w:pPr>
    <w:rPr>
      <w:rFonts w:ascii="Times New Roman Bold" w:hAnsi="Times New Roman Bold"/>
      <w:b/>
      <w:bCs/>
      <w:caps/>
      <w:szCs w:val="22"/>
    </w:rPr>
  </w:style>
  <w:style w:type="paragraph" w:customStyle="1" w:styleId="whotitle">
    <w:name w:val="who &amp; title"/>
    <w:basedOn w:val="Normal"/>
    <w:pPr>
      <w:spacing w:after="480"/>
      <w:ind w:left="4320"/>
    </w:pPr>
  </w:style>
  <w:style w:type="paragraph" w:customStyle="1" w:styleId="adoptpara">
    <w:name w:val="adopt para"/>
    <w:basedOn w:val="Normal"/>
    <w:pPr>
      <w:spacing w:after="480"/>
      <w:ind w:firstLine="720"/>
      <w:jc w:val="both"/>
    </w:pPr>
  </w:style>
  <w:style w:type="paragraph" w:customStyle="1" w:styleId="Stylepge2Underline">
    <w:name w:val="Style pge 2 + Underline"/>
    <w:basedOn w:val="pge2"/>
    <w:link w:val="Stylepge2UnderlineChar"/>
    <w:pPr>
      <w:tabs>
        <w:tab w:val="clear" w:pos="0"/>
      </w:tabs>
    </w:pPr>
    <w:rPr>
      <w:u w:val="single"/>
    </w:rPr>
  </w:style>
  <w:style w:type="character" w:customStyle="1" w:styleId="pge2CharChar">
    <w:name w:val="pge 2 Char Char"/>
    <w:link w:val="pge2"/>
    <w:rPr>
      <w:sz w:val="22"/>
      <w:szCs w:val="24"/>
    </w:rPr>
  </w:style>
  <w:style w:type="character" w:customStyle="1" w:styleId="Stylepge2UnderlineChar">
    <w:name w:val="Style pge 2 + Underline Char"/>
    <w:link w:val="Stylepge2Underline"/>
    <w:rPr>
      <w:sz w:val="22"/>
      <w:szCs w:val="24"/>
      <w:u w:val="single"/>
      <w:lang w:val="en-US" w:eastAsia="en-US" w:bidi="ar-SA"/>
    </w:rPr>
  </w:style>
  <w:style w:type="paragraph" w:customStyle="1" w:styleId="by1">
    <w:name w:val="by1"/>
    <w:basedOn w:val="Normal"/>
    <w:pPr>
      <w:spacing w:after="120"/>
      <w:ind w:left="3600"/>
    </w:pPr>
  </w:style>
  <w:style w:type="paragraph" w:customStyle="1" w:styleId="attest">
    <w:name w:val="attest"/>
    <w:basedOn w:val="Normal"/>
    <w:pPr>
      <w:spacing w:after="720"/>
    </w:pPr>
  </w:style>
  <w:style w:type="paragraph" w:customStyle="1" w:styleId="by2">
    <w:name w:val="by2"/>
    <w:basedOn w:val="Normal"/>
    <w:pPr>
      <w:spacing w:after="120"/>
    </w:pPr>
  </w:style>
  <w:style w:type="character" w:customStyle="1" w:styleId="pge2Char">
    <w:name w:val="pge 2 Char"/>
    <w:rPr>
      <w:sz w:val="22"/>
      <w:szCs w:val="24"/>
      <w:lang w:val="en-US" w:eastAsia="en-US" w:bidi="ar-SA"/>
    </w:rPr>
  </w:style>
  <w:style w:type="character" w:customStyle="1" w:styleId="HeaderChar">
    <w:name w:val="Header Char"/>
    <w:link w:val="Header"/>
    <w:uiPriority w:val="99"/>
    <w:rsid w:val="000F095A"/>
    <w:rPr>
      <w:sz w:val="22"/>
      <w:szCs w:val="24"/>
    </w:rPr>
  </w:style>
  <w:style w:type="paragraph" w:styleId="FootnoteText">
    <w:name w:val="footnote text"/>
    <w:basedOn w:val="Normal"/>
    <w:link w:val="FootnoteTextChar"/>
    <w:rsid w:val="000F095A"/>
    <w:rPr>
      <w:sz w:val="20"/>
      <w:szCs w:val="20"/>
    </w:rPr>
  </w:style>
  <w:style w:type="character" w:customStyle="1" w:styleId="FootnoteTextChar">
    <w:name w:val="Footnote Text Char"/>
    <w:basedOn w:val="DefaultParagraphFont"/>
    <w:link w:val="FootnoteText"/>
    <w:rsid w:val="000F095A"/>
  </w:style>
  <w:style w:type="character" w:styleId="FootnoteReference">
    <w:name w:val="footnote reference"/>
    <w:uiPriority w:val="99"/>
    <w:unhideWhenUsed/>
    <w:rsid w:val="000F095A"/>
    <w:rPr>
      <w:vertAlign w:val="superscript"/>
    </w:rPr>
  </w:style>
  <w:style w:type="paragraph" w:styleId="BalloonText">
    <w:name w:val="Balloon Text"/>
    <w:basedOn w:val="Normal"/>
    <w:link w:val="BalloonTextChar"/>
    <w:rsid w:val="001B3606"/>
    <w:rPr>
      <w:rFonts w:ascii="Tahoma" w:hAnsi="Tahoma" w:cs="Tahoma"/>
      <w:sz w:val="16"/>
      <w:szCs w:val="16"/>
    </w:rPr>
  </w:style>
  <w:style w:type="character" w:customStyle="1" w:styleId="BalloonTextChar">
    <w:name w:val="Balloon Text Char"/>
    <w:basedOn w:val="DefaultParagraphFont"/>
    <w:link w:val="BalloonText"/>
    <w:rsid w:val="001B3606"/>
    <w:rPr>
      <w:rFonts w:ascii="Tahoma" w:hAnsi="Tahoma" w:cs="Tahoma"/>
      <w:sz w:val="16"/>
      <w:szCs w:val="16"/>
    </w:rPr>
  </w:style>
  <w:style w:type="character" w:customStyle="1" w:styleId="FooterChar">
    <w:name w:val="Footer Char"/>
    <w:basedOn w:val="DefaultParagraphFont"/>
    <w:link w:val="Footer"/>
    <w:rsid w:val="002E6EDA"/>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emma.msr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18</Pages>
  <Words>6651</Words>
  <Characters>35536</Characters>
  <Application>Microsoft Office Word</Application>
  <DocSecurity>0</DocSecurity>
  <Lines>296</Lines>
  <Paragraphs>84</Paragraphs>
  <ScaleCrop>false</ScaleCrop>
  <HeadingPairs>
    <vt:vector size="2" baseType="variant">
      <vt:variant>
        <vt:lpstr>Title</vt:lpstr>
      </vt:variant>
      <vt:variant>
        <vt:i4>1</vt:i4>
      </vt:variant>
    </vt:vector>
  </HeadingPairs>
  <TitlesOfParts>
    <vt:vector size="1" baseType="lpstr">
      <vt:lpstr>RESOLUTION NO</vt:lpstr>
    </vt:vector>
  </TitlesOfParts>
  <Company/>
  <LinksUpToDate>false</LinksUpToDate>
  <CharactersWithSpaces>42103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 NO</dc:title>
  <dc:subject/>
  <dc:creator>Sandra McDaniel</dc:creator>
  <cp:keywords/>
  <dc:description/>
  <cp:lastModifiedBy>Hawkins Delafield &amp; Wood LLP</cp:lastModifiedBy>
  <cp:revision>30</cp:revision>
  <cp:lastPrinted>2017-12-06T20:59:00Z</cp:lastPrinted>
  <dcterms:created xsi:type="dcterms:W3CDTF">2018-06-26T21:37:00Z</dcterms:created>
  <dcterms:modified xsi:type="dcterms:W3CDTF">2018-06-27T18:55:00Z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3093344.1 041181  RSIND</vt:lpwstr>
  </property>
</Properties>
</file>