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51"/>
        <w:gridCol w:w="2228"/>
        <w:gridCol w:w="4175"/>
      </w:tblGrid>
      <w:tr w:rsidR="006F5EA7" w:rsidRPr="006F5EA7" w:rsidTr="006F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pPr>
              <w:jc w:val="center"/>
            </w:pPr>
            <w:r w:rsidRPr="006F5EA7">
              <w:t>Area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pPr>
              <w:jc w:val="center"/>
            </w:pPr>
            <w:r w:rsidRPr="006F5EA7">
              <w:t>Intern Suggestion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pPr>
              <w:jc w:val="center"/>
            </w:pPr>
            <w:r w:rsidRPr="006F5EA7">
              <w:t>CTO Suggestion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pPr>
              <w:jc w:val="center"/>
            </w:pPr>
            <w:r w:rsidRPr="006F5EA7">
              <w:t>My Assessment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Stateless Query Handling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Deploy stateless query engines on Kubernetes clusters for scalability and resilience.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Add Redis-backed session memory to maintain conversational context across turns.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 xml:space="preserve">For our use case (RAG chatbot with multi-turn Q&amp;A), Redis-backed memory is more directly impactful. Kubernetes clustering addresses scaling but not the </w:t>
            </w:r>
            <w:r w:rsidRPr="006F5EA7">
              <w:rPr>
                <w:i/>
                <w:iCs/>
              </w:rPr>
              <w:t>UX gap</w:t>
            </w:r>
            <w:r w:rsidRPr="006F5EA7">
              <w:t xml:space="preserve"> caused by lack of memory. Kubernetes can still be valuable later for deployment scaling.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Data Extraction / OCR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Use Dynamically Expandable Networks (DEN) and custom dictionaries to correct OCR output.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Use rule-based parsers, regex, and layout parsers for domain-specific field extraction (rent, dates, clauses).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>CTO’s approach is more pragmatic in short term — DEN is advanced research-level ML, whereas regex + layout parsing can be implemented quickly and will likely solve 80% of our structured field gaps.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 xml:space="preserve">Use </w:t>
            </w:r>
            <w:proofErr w:type="spellStart"/>
            <w:r w:rsidRPr="006F5EA7">
              <w:t>LangSmith</w:t>
            </w:r>
            <w:proofErr w:type="spellEnd"/>
            <w:r w:rsidRPr="006F5EA7">
              <w:t xml:space="preserve"> for LLM tracing, metrics, prompt logging.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 xml:space="preserve">Use </w:t>
            </w:r>
            <w:proofErr w:type="spellStart"/>
            <w:r w:rsidRPr="006F5EA7">
              <w:t>OpenTelemetry</w:t>
            </w:r>
            <w:proofErr w:type="spellEnd"/>
            <w:r w:rsidRPr="006F5EA7">
              <w:t xml:space="preserve"> + Prometheus + Grafana for system-wide observability.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 xml:space="preserve">CTO’s choice covers more than just LLM metrics — it monitors </w:t>
            </w:r>
            <w:r w:rsidRPr="006F5EA7">
              <w:rPr>
                <w:i/>
                <w:iCs/>
              </w:rPr>
              <w:t>entire pipeline performance</w:t>
            </w:r>
            <w:r w:rsidRPr="006F5EA7">
              <w:t xml:space="preserve"> (retrieval, OCR, DB, etc.). </w:t>
            </w:r>
            <w:proofErr w:type="spellStart"/>
            <w:r w:rsidRPr="006F5EA7">
              <w:t>LangSmith</w:t>
            </w:r>
            <w:proofErr w:type="spellEnd"/>
            <w:r w:rsidRPr="006F5EA7">
              <w:t xml:space="preserve"> could be an </w:t>
            </w:r>
            <w:r w:rsidRPr="006F5EA7">
              <w:rPr>
                <w:i/>
                <w:iCs/>
              </w:rPr>
              <w:t>additional</w:t>
            </w:r>
            <w:r w:rsidRPr="006F5EA7">
              <w:t xml:space="preserve"> layer for LLM-specific analytics, but CTO’s choice is foundational.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Summarization Pipeline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 xml:space="preserve">Run locally with </w:t>
            </w:r>
            <w:proofErr w:type="spellStart"/>
            <w:r w:rsidRPr="006F5EA7">
              <w:t>Ollama</w:t>
            </w:r>
            <w:proofErr w:type="spellEnd"/>
            <w:r w:rsidRPr="006F5EA7">
              <w:t xml:space="preserve"> or Hugging Face, add clickable source links.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Productionize existing summarization service.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 xml:space="preserve">CTO is focused on making our </w:t>
            </w:r>
            <w:r w:rsidRPr="006F5EA7">
              <w:rPr>
                <w:i/>
                <w:iCs/>
              </w:rPr>
              <w:t>current</w:t>
            </w:r>
            <w:r w:rsidRPr="006F5EA7">
              <w:t xml:space="preserve"> summarization reliable and scalable. Intern adds UX enhancement (clickable sources) — which is a good idea but should follow once the base service is stable.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Prompt Management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 xml:space="preserve">Use </w:t>
            </w:r>
            <w:proofErr w:type="spellStart"/>
            <w:r w:rsidRPr="006F5EA7">
              <w:t>LangSmith</w:t>
            </w:r>
            <w:proofErr w:type="spellEnd"/>
            <w:r w:rsidRPr="006F5EA7">
              <w:t xml:space="preserve"> for centralized prompt versioning.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 xml:space="preserve">Implement prompt templating + version control (could be in Git, not necessarily </w:t>
            </w:r>
            <w:proofErr w:type="spellStart"/>
            <w:r w:rsidRPr="006F5EA7">
              <w:t>LangSmith</w:t>
            </w:r>
            <w:proofErr w:type="spellEnd"/>
            <w:r w:rsidRPr="006F5EA7">
              <w:t>).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 xml:space="preserve">CTO’s version is more flexible — keeps us tool-agnostic. </w:t>
            </w:r>
            <w:proofErr w:type="spellStart"/>
            <w:r w:rsidRPr="006F5EA7">
              <w:t>LangSmith</w:t>
            </w:r>
            <w:proofErr w:type="spellEnd"/>
            <w:r w:rsidRPr="006F5EA7">
              <w:t xml:space="preserve"> is fine but adds vendor/tool dependency.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Grafana + Prometheus for vector DB metrics.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Grafana + Prometheus for overall service + vector DB metrics.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>CTO’s version is broader in scope; intern’s version is narrower to DB only. Broad coverage is better.</w:t>
            </w:r>
          </w:p>
        </w:tc>
      </w:tr>
      <w:tr w:rsidR="006F5EA7" w:rsidRPr="006F5EA7" w:rsidTr="006F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Retrieval QA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Use NDCG metric from scikit-learn.</w:t>
            </w:r>
          </w:p>
        </w:tc>
        <w:tc>
          <w:tcPr>
            <w:tcW w:w="0" w:type="auto"/>
            <w:vAlign w:val="center"/>
            <w:hideMark/>
          </w:tcPr>
          <w:p w:rsidR="006F5EA7" w:rsidRPr="006F5EA7" w:rsidRDefault="006F5EA7" w:rsidP="006F5EA7">
            <w:r w:rsidRPr="006F5EA7">
              <w:t>Build a full retrieval QA tool (</w:t>
            </w:r>
            <w:proofErr w:type="spellStart"/>
            <w:r w:rsidRPr="006F5EA7">
              <w:t>precision@k</w:t>
            </w:r>
            <w:proofErr w:type="spellEnd"/>
            <w:r w:rsidRPr="006F5EA7">
              <w:t>, recall, relevance, logging).</w:t>
            </w:r>
          </w:p>
        </w:tc>
        <w:tc>
          <w:tcPr>
            <w:tcW w:w="4130" w:type="dxa"/>
            <w:vAlign w:val="center"/>
            <w:hideMark/>
          </w:tcPr>
          <w:p w:rsidR="006F5EA7" w:rsidRPr="006F5EA7" w:rsidRDefault="006F5EA7" w:rsidP="006F5EA7">
            <w:r w:rsidRPr="006F5EA7">
              <w:t>CTO’s approach is more complete and gives better diagnostics; NDCG could be one metric within it.</w:t>
            </w:r>
          </w:p>
        </w:tc>
      </w:tr>
    </w:tbl>
    <w:p w:rsidR="00973749" w:rsidRPr="006F5EA7" w:rsidRDefault="00973749"/>
    <w:sectPr w:rsidR="00973749" w:rsidRPr="006F5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A7"/>
    <w:rsid w:val="00232281"/>
    <w:rsid w:val="006F5EA7"/>
    <w:rsid w:val="00973749"/>
    <w:rsid w:val="0097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709E"/>
  <w15:chartTrackingRefBased/>
  <w15:docId w15:val="{EF7EDEA3-34FB-46D7-AC50-FF74396E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Kumble</dc:creator>
  <cp:keywords/>
  <dc:description/>
  <cp:lastModifiedBy>Akshata Kumble</cp:lastModifiedBy>
  <cp:revision>1</cp:revision>
  <dcterms:created xsi:type="dcterms:W3CDTF">2025-08-12T18:38:00Z</dcterms:created>
  <dcterms:modified xsi:type="dcterms:W3CDTF">2025-08-12T18:40:00Z</dcterms:modified>
</cp:coreProperties>
</file>