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rId24.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lesson-12-practice-problems"/>
    <w:p>
      <w:pPr>
        <w:pStyle w:val="Heading3"/>
      </w:pPr>
      <w:r>
        <w:t xml:space="preserve">Lesson 12 Practice Problems</w:t>
      </w:r>
    </w:p>
    <w:bookmarkEnd w:id="20"/>
    <w:p>
      <w:pPr>
        <w:numPr>
          <w:ilvl w:val="0"/>
          <w:numId w:val="1001"/>
        </w:numPr>
      </w:pPr>
      <w:r>
        <w:t xml:space="preserve">Priya collected 2,400 grams of pennies in a fundraiser. Each penny has a mass of 2.5 grams. How much money did Priya raise? If you get stuck, consider using the table. </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number of pennies</w:t>
            </w:r>
          </w:p>
        </w:tc>
        <w:tc>
          <w:tcPr/>
          <w:p>
            <w:pPr>
              <w:numPr>
                <w:ilvl w:val="0"/>
                <w:numId w:val="1000"/>
              </w:numPr>
              <w:pStyle w:val="Compact"/>
              <w:jc w:val="left"/>
            </w:pPr>
            <w:r>
              <w:t xml:space="preserve">mass in grams</w:t>
            </w:r>
          </w:p>
        </w:tc>
      </w:tr>
      <w:tr>
        <w:tc>
          <w:tcPr/>
          <w:p>
            <w:pPr>
              <w:numPr>
                <w:ilvl w:val="0"/>
                <w:numId w:val="1000"/>
              </w:numPr>
              <w:pStyle w:val="Compact"/>
              <w:jc w:val="left"/>
            </w:pPr>
            <w:r>
              <w:t xml:space="preserve">1</w:t>
            </w:r>
          </w:p>
        </w:tc>
        <w:tc>
          <w:tcPr/>
          <w:p>
            <w:pPr>
              <w:numPr>
                <w:ilvl w:val="0"/>
                <w:numId w:val="1000"/>
              </w:numPr>
              <w:pStyle w:val="Compact"/>
              <w:jc w:val="left"/>
            </w:pPr>
            <w:r>
              <w:t xml:space="preserve">2.5</w:t>
            </w: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pStyle w:val="Compact"/>
            </w:pPr>
          </w:p>
        </w:tc>
      </w:tr>
      <w:tr>
        <w:tc>
          <w:tcPr/>
          <w:p>
            <w:pPr>
              <w:pStyle w:val="Compact"/>
            </w:pPr>
          </w:p>
        </w:tc>
        <w:tc>
          <w:tcPr/>
          <w:p>
            <w:pPr>
              <w:numPr>
                <w:ilvl w:val="0"/>
                <w:numId w:val="1000"/>
              </w:numPr>
              <w:pStyle w:val="Compact"/>
              <w:jc w:val="left"/>
            </w:pPr>
            <w:r>
              <w:t xml:space="preserve">2,400</w:t>
            </w:r>
          </w:p>
        </w:tc>
      </w:tr>
    </w:tbl>
    <w:p>
      <w:pPr>
        <w:numPr>
          <w:ilvl w:val="0"/>
          <w:numId w:val="1001"/>
        </w:numPr>
      </w:pPr>
      <w:r>
        <w:t xml:space="preserve">Kiran reads 5 pages in 20 minutes. He spends the same amount of time per page. How long will it take him to read 11 pages? If you get stuck, consider using the table.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time in minutes</w:t>
            </w:r>
          </w:p>
        </w:tc>
        <w:tc>
          <w:tcPr/>
          <w:p>
            <w:pPr>
              <w:numPr>
                <w:ilvl w:val="0"/>
                <w:numId w:val="1000"/>
              </w:numPr>
              <w:pStyle w:val="Compact"/>
              <w:jc w:val="left"/>
            </w:pPr>
            <w:r>
              <w:t xml:space="preserve">number of pages</w:t>
            </w:r>
          </w:p>
        </w:tc>
      </w:tr>
      <w:tr>
        <w:tc>
          <w:tcPr/>
          <w:p>
            <w:pPr>
              <w:numPr>
                <w:ilvl w:val="0"/>
                <w:numId w:val="1000"/>
              </w:numPr>
              <w:pStyle w:val="Compact"/>
              <w:jc w:val="left"/>
            </w:pPr>
            <w:r>
              <w:t xml:space="preserve">20</w:t>
            </w:r>
          </w:p>
        </w:tc>
        <w:tc>
          <w:tcPr/>
          <w:p>
            <w:pPr>
              <w:numPr>
                <w:ilvl w:val="0"/>
                <w:numId w:val="1000"/>
              </w:numPr>
              <w:pStyle w:val="Compact"/>
              <w:jc w:val="left"/>
            </w:pPr>
            <w:r>
              <w:t xml:space="preserve">5</w:t>
            </w:r>
          </w:p>
        </w:tc>
      </w:tr>
      <w:tr>
        <w:tc>
          <w:tcPr/>
          <w:p>
            <w:pPr>
              <w:pStyle w:val="Compact"/>
            </w:pPr>
          </w:p>
        </w:tc>
        <w:tc>
          <w:tcPr/>
          <w:p>
            <w:pPr>
              <w:numPr>
                <w:ilvl w:val="0"/>
                <w:numId w:val="1000"/>
              </w:numPr>
              <w:pStyle w:val="Compact"/>
              <w:jc w:val="left"/>
            </w:pPr>
            <w:r>
              <w:t xml:space="preserve">1</w:t>
            </w:r>
          </w:p>
        </w:tc>
      </w:tr>
      <w:tr>
        <w:tc>
          <w:tcPr/>
          <w:p>
            <w:pPr>
              <w:pStyle w:val="Compact"/>
            </w:pPr>
          </w:p>
        </w:tc>
        <w:tc>
          <w:tcPr/>
          <w:p>
            <w:pPr>
              <w:numPr>
                <w:ilvl w:val="0"/>
                <w:numId w:val="1000"/>
              </w:numPr>
              <w:pStyle w:val="Compact"/>
              <w:jc w:val="left"/>
            </w:pPr>
            <w:r>
              <w:t xml:space="preserve">11</w:t>
            </w:r>
          </w:p>
        </w:tc>
      </w:tr>
    </w:tbl>
    <w:p>
      <w:pPr>
        <w:numPr>
          <w:ilvl w:val="0"/>
          <w:numId w:val="1001"/>
        </w:numPr>
      </w:pPr>
      <w:r>
        <w:t xml:space="preserve">Mai is making personal pizzas. For 4 pizzas, she uses 10 ounces of cheese.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number of pizzas</w:t>
            </w:r>
          </w:p>
        </w:tc>
        <w:tc>
          <w:tcPr/>
          <w:p>
            <w:pPr>
              <w:numPr>
                <w:ilvl w:val="0"/>
                <w:numId w:val="1000"/>
              </w:numPr>
              <w:pStyle w:val="Compact"/>
              <w:jc w:val="left"/>
            </w:pPr>
            <w:r>
              <w:t xml:space="preserve">ounces of cheese</w:t>
            </w:r>
          </w:p>
        </w:tc>
      </w:tr>
      <w:tr>
        <w:tc>
          <w:tcPr/>
          <w:p>
            <w:pPr>
              <w:numPr>
                <w:ilvl w:val="0"/>
                <w:numId w:val="1000"/>
              </w:numPr>
              <w:pStyle w:val="Compact"/>
              <w:jc w:val="left"/>
            </w:pPr>
            <w:r>
              <w:t xml:space="preserve">4</w:t>
            </w:r>
          </w:p>
        </w:tc>
        <w:tc>
          <w:tcPr/>
          <w:p>
            <w:pPr>
              <w:numPr>
                <w:ilvl w:val="0"/>
                <w:numId w:val="1000"/>
              </w:numPr>
              <w:pStyle w:val="Compact"/>
              <w:jc w:val="left"/>
            </w:pPr>
            <w:r>
              <w:t xml:space="preserve">10</w:t>
            </w:r>
          </w:p>
        </w:tc>
      </w:tr>
      <w:tr>
        <w:tc>
          <w:tcPr/>
          <w:p>
            <w:pPr>
              <w:pStyle w:val="Compact"/>
            </w:pPr>
          </w:p>
        </w:tc>
        <w:tc>
          <w:tcPr/>
          <w:p>
            <w:pPr>
              <w:pStyle w:val="Compact"/>
            </w:pPr>
          </w:p>
        </w:tc>
      </w:tr>
      <w:tr>
        <w:tc>
          <w:tcPr/>
          <w:p>
            <w:pPr>
              <w:pStyle w:val="Compact"/>
            </w:pPr>
          </w:p>
        </w:tc>
        <w:tc>
          <w:tcPr/>
          <w:p>
            <w:pPr>
              <w:pStyle w:val="Compact"/>
            </w:pPr>
          </w:p>
        </w:tc>
      </w:tr>
    </w:tbl>
    <w:p>
      <w:pPr>
        <w:numPr>
          <w:ilvl w:val="0"/>
          <w:numId w:val="1000"/>
        </w:numPr>
      </w:pPr>
      <w:r>
        <w:t xml:space="preserve">a. How much cheese does Mai use per pizza?</w:t>
      </w:r>
    </w:p>
    <w:p>
      <w:pPr>
        <w:numPr>
          <w:ilvl w:val="0"/>
          <w:numId w:val="1000"/>
        </w:numPr>
      </w:pPr>
      <w:r>
        <w:t xml:space="preserve">b. At this rate, how much cheese will she need to make 15 pizzas?</w:t>
      </w:r>
    </w:p>
    <w:p>
      <w:pPr>
        <w:numPr>
          <w:ilvl w:val="0"/>
          <w:numId w:val="1001"/>
        </w:numPr>
      </w:pPr>
      <w:r>
        <w:t xml:space="preserve">Clare is paid</w:t>
      </w:r>
      <w:r>
        <w:t xml:space="preserve"> </w:t>
      </w:r>
      <w:r>
        <w:t xml:space="preserve">$</w:t>
      </w:r>
      <w:r>
        <w:t xml:space="preserve">90 for 5 hours of work. At this rate, how many seconds does it take for her to earn 25 cents?</w:t>
      </w:r>
    </w:p>
    <w:p>
      <w:pPr>
        <w:numPr>
          <w:ilvl w:val="0"/>
          <w:numId w:val="1001"/>
        </w:numPr>
      </w:pPr>
      <w:r>
        <w:t xml:space="preserve">A car that travels 20 miles in</w:t>
      </w:r>
      <w:r>
        <w:t xml:space="preserve"> </w:t>
      </w:r>
      <m:oMath>
        <m:f>
          <m:fPr>
            <m:type m:val="bar"/>
          </m:fPr>
          <m:num>
            <m:r>
              <m:t>1</m:t>
            </m:r>
          </m:num>
          <m:den>
            <m:r>
              <m:t>2</m:t>
            </m:r>
          </m:den>
        </m:f>
      </m:oMath>
      <w:r>
        <w:t xml:space="preserve"> </w:t>
      </w:r>
      <w:r>
        <w:t xml:space="preserve">hour at constant speed is traveling at the same speed as a car that travels 30 miles in</w:t>
      </w:r>
      <w:r>
        <w:t xml:space="preserve"> </w:t>
      </w:r>
      <m:oMath>
        <m:f>
          <m:fPr>
            <m:type m:val="bar"/>
          </m:fPr>
          <m:num>
            <m:r>
              <m:t>3</m:t>
            </m:r>
          </m:num>
          <m:den>
            <m:r>
              <m:t>4</m:t>
            </m:r>
          </m:den>
        </m:f>
      </m:oMath>
      <w:r>
        <w:t xml:space="preserve"> </w:t>
      </w:r>
      <w:r>
        <w:t xml:space="preserve">hour at a constant speed. Explain or show why.</w:t>
      </w:r>
    </w:p>
    <w:p>
      <w:pPr>
        <w:numPr>
          <w:ilvl w:val="0"/>
          <w:numId w:val="1000"/>
        </w:numPr>
      </w:pPr>
      <w:r>
        <w:t xml:space="preserve">from Unit 2, Lesson 10</w:t>
      </w:r>
    </w:p>
    <w:p>
      <w:pPr>
        <w:numPr>
          <w:ilvl w:val="0"/>
          <w:numId w:val="1001"/>
        </w:numPr>
      </w:pPr>
      <w:r>
        <w:t xml:space="preserve">Lin makes her favorite juice blend by mixing cranberry juice with apple juice in the ratio shown on the double number line. Complete the diagram to show smaller and larger batches that would taste the same as Lin's favorite blend.</w:t>
      </w:r>
    </w:p>
    <w:p>
      <w:pPr>
        <w:numPr>
          <w:ilvl w:val="0"/>
          <w:numId w:val="1000"/>
        </w:numPr>
        <w:pStyle w:val="Compact"/>
      </w:pPr>
      <w:r>
        <w:drawing>
          <wp:inline>
            <wp:extent cx="4605640" cy="1088717"/>
            <wp:effectExtent b="0" l="0" r="0" t="0"/>
            <wp:docPr descr="Double number line. cranberry juice, fluid ounces. Apple juice, fluid ounces. " title="" id="22" name="Picture"/>
            <a:graphic>
              <a:graphicData uri="http://schemas.openxmlformats.org/drawingml/2006/picture">
                <pic:pic>
                  <pic:nvPicPr>
                    <pic:cNvPr descr="/app/tmp/embedder-1683227573.3375816.png" id="23" name="Picture"/>
                    <pic:cNvPicPr>
                      <a:picLocks noChangeArrowheads="1" noChangeAspect="1"/>
                    </pic:cNvPicPr>
                  </pic:nvPicPr>
                  <pic:blipFill>
                    <a:blip r:embed="rId21"/>
                    <a:stretch>
                      <a:fillRect/>
                    </a:stretch>
                  </pic:blipFill>
                  <pic:spPr bwMode="auto">
                    <a:xfrm>
                      <a:off x="0" y="0"/>
                      <a:ext cx="4605640" cy="1088717"/>
                    </a:xfrm>
                    <a:prstGeom prst="rect">
                      <a:avLst/>
                    </a:prstGeom>
                    <a:noFill/>
                    <a:ln w="9525">
                      <a:noFill/>
                      <a:headEnd/>
                      <a:tailEnd/>
                    </a:ln>
                  </pic:spPr>
                </pic:pic>
              </a:graphicData>
            </a:graphic>
          </wp:inline>
        </w:drawing>
      </w:r>
    </w:p>
    <w:p>
      <w:pPr>
        <w:numPr>
          <w:ilvl w:val="0"/>
          <w:numId w:val="1000"/>
        </w:numPr>
      </w:pPr>
      <w:r>
        <w:t xml:space="preserve">from Unit 2, Lesson 6</w:t>
      </w:r>
    </w:p>
    <w:p>
      <w:pPr>
        <w:numPr>
          <w:ilvl w:val="0"/>
          <w:numId w:val="1001"/>
        </w:numPr>
      </w:pPr>
      <w:r>
        <w:t xml:space="preserve">Each of these is a pair of equivalent ratios. For each pair, explain why they are equivalent ratios or draw a representation that shows why they are equivalent ratios.</w:t>
      </w:r>
    </w:p>
    <w:p>
      <w:pPr>
        <w:numPr>
          <w:ilvl w:val="1"/>
          <w:numId w:val="1002"/>
        </w:numPr>
        <w:pStyle w:val="Compact"/>
      </w:pPr>
      <m:oMath>
        <m:r>
          <m:t>600</m:t>
        </m:r>
        <m:r>
          <m:rPr>
            <m:sty m:val="p"/>
          </m:rPr>
          <m:t>:</m:t>
        </m:r>
        <m:r>
          <m:t>450</m:t>
        </m:r>
      </m:oMath>
      <w:r>
        <w:t xml:space="preserve"> </w:t>
      </w:r>
      <w:r>
        <w:t xml:space="preserve">and</w:t>
      </w:r>
      <w:r>
        <w:t xml:space="preserve"> </w:t>
      </w:r>
      <m:oMath>
        <m:r>
          <m:t>60</m:t>
        </m:r>
        <m:r>
          <m:rPr>
            <m:sty m:val="p"/>
          </m:rPr>
          <m:t>:</m:t>
        </m:r>
        <m:r>
          <m:t>45</m:t>
        </m:r>
      </m:oMath>
    </w:p>
    <w:p>
      <w:pPr>
        <w:numPr>
          <w:ilvl w:val="1"/>
          <w:numId w:val="1002"/>
        </w:numPr>
        <w:pStyle w:val="Compact"/>
      </w:pPr>
      <m:oMath>
        <m:r>
          <m:t>60</m:t>
        </m:r>
        <m:r>
          <m:rPr>
            <m:sty m:val="p"/>
          </m:rPr>
          <m:t>:</m:t>
        </m:r>
        <m:r>
          <m:t>45</m:t>
        </m:r>
      </m:oMath>
      <w:r>
        <w:t xml:space="preserve"> </w:t>
      </w:r>
      <w:r>
        <w:t xml:space="preserve">and</w:t>
      </w:r>
      <w:r>
        <w:t xml:space="preserve"> </w:t>
      </w:r>
      <m:oMath>
        <m:r>
          <m:t>4</m:t>
        </m:r>
        <m:r>
          <m:rPr>
            <m:sty m:val="p"/>
          </m:rPr>
          <m:t>:</m:t>
        </m:r>
        <m:r>
          <m:t>3</m:t>
        </m:r>
      </m:oMath>
    </w:p>
    <w:p>
      <w:pPr>
        <w:numPr>
          <w:ilvl w:val="1"/>
          <w:numId w:val="1002"/>
        </w:numPr>
        <w:pStyle w:val="Compact"/>
      </w:pPr>
      <m:oMath>
        <m:r>
          <m:t>600</m:t>
        </m:r>
        <m:r>
          <m:rPr>
            <m:sty m:val="p"/>
          </m:rPr>
          <m:t>:</m:t>
        </m:r>
        <m:r>
          <m:t>450</m:t>
        </m:r>
      </m:oMath>
      <w:r>
        <w:t xml:space="preserve"> </w:t>
      </w:r>
      <w:r>
        <w:t xml:space="preserve">and</w:t>
      </w:r>
      <w:r>
        <w:t xml:space="preserve"> </w:t>
      </w:r>
      <m:oMath>
        <m:r>
          <m:t>4</m:t>
        </m:r>
        <m:r>
          <m:rPr>
            <m:sty m:val="p"/>
          </m:rPr>
          <m:t>:</m:t>
        </m:r>
        <m:r>
          <m:t>3</m:t>
        </m:r>
      </m:oMath>
    </w:p>
    <w:p>
      <w:pPr>
        <w:numPr>
          <w:ilvl w:val="0"/>
          <w:numId w:val="1000"/>
        </w:numPr>
      </w:pPr>
      <w:r>
        <w:t xml:space="preserve">from Unit 2, Lesson 5</w:t>
      </w:r>
    </w:p>
    <w:p>
      <w:pPr>
        <w:pStyle w:val="FirstParagraph"/>
      </w:pPr>
      <w:r>
        <w:drawing>
          <wp:inline>
            <wp:extent cx="762000" cy="266700"/>
            <wp:effectExtent b="0" l="0" r="0" t="0"/>
            <wp:docPr descr="" title="" id="25" name="Picture"/>
            <a:graphic>
              <a:graphicData uri="http://schemas.openxmlformats.org/drawingml/2006/picture">
                <pic:pic>
                  <pic:nvPicPr>
                    <pic:cNvPr descr="/app/app/assets/images/export/ccby_logo_small.png" id="26" name="Picture"/>
                    <pic:cNvPicPr>
                      <a:picLocks noChangeArrowheads="1" noChangeAspect="1"/>
                    </pic:cNvPicPr>
                  </pic:nvPicPr>
                  <pic:blipFill>
                    <a:blip r:embed="rId24"/>
                    <a:stretch>
                      <a:fillRect/>
                    </a:stretch>
                  </pic:blipFill>
                  <pic:spPr bwMode="auto">
                    <a:xfrm>
                      <a:off x="0" y="0"/>
                      <a:ext cx="762000" cy="266700"/>
                    </a:xfrm>
                    <a:prstGeom prst="rect">
                      <a:avLst/>
                    </a:prstGeom>
                    <a:noFill/>
                    <a:ln w="9525">
                      <a:noFill/>
                      <a:headEnd/>
                      <a:tailEnd/>
                    </a:ln>
                  </pic:spPr>
                </pic:pic>
              </a:graphicData>
            </a:graphic>
          </wp:inline>
        </w:drawing>
      </w:r>
    </w:p>
    <w:p>
      <w:pPr>
        <w:pStyle w:val="BodyText"/>
      </w:pPr>
      <w:r>
        <w:t xml:space="preserve">© CC BY Open Up Resources. Adaptations CC BY IM.</w:t>
      </w:r>
    </w:p>
    <w:sectPr w:rsidR="00D121E2">
      <w:headerReference r:id="rId10" w:type="even"/>
      <w:headerReference r:id="rId11" w:type="default"/>
      <w:footerReference r:id="rId14" w:type="even"/>
      <w:footerReference r:id="rId12" w:type="default"/>
      <w:headerReference r:id="rId9" w:type="first"/>
      <w:footerReference r:id="rId13"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020838" w14:textId="77777777" w:rsidR="004334B2" w:rsidRDefault="004334B2" w:rsidP="00C83B8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26E3B1" w14:textId="77777777" w:rsidR="009E40FE" w:rsidRDefault="009E40FE" w:rsidP="004334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D34E5" w14:textId="3F7124D7" w:rsidR="000B7A7F" w:rsidRDefault="00E54CE6" w:rsidP="004334B2">
    <w:pPr>
      <w:pStyle w:val="Footer"/>
      <w:ind w:right="360"/>
    </w:pPr>
    <w:r>
      <w:pict w14:anchorId="5EC179F9">
        <v:rect id="_x0000_i1026" style="width:0;height:1.5pt" o:hralign="center" o:hrstd="t" o:hr="t" fillcolor="#aaa" stroked="f"/>
      </w:pict>
    </w:r>
  </w:p>
  <w:p w14:paraId="4389672A" w14:textId="77777777" w:rsidR="000B7A7F" w:rsidRDefault="000B7A7F" w:rsidP="000B7A7F">
    <w:pPr>
      <w:pStyle w:val="Footer"/>
      <w:framePr w:wrap="none" w:vAnchor="text" w:hAnchor="page" w:x="11422" w:y="209"/>
      <w:rPr>
        <w:rStyle w:val="PageNumber"/>
      </w:rPr>
    </w:pPr>
    <w:r>
      <w:rPr>
        <w:rStyle w:val="PageNumber"/>
      </w:rPr>
      <w:fldChar w:fldCharType="begin"/>
    </w:r>
    <w:r>
      <w:rPr>
        <w:rStyle w:val="PageNumber"/>
      </w:rPr>
      <w:instrText xml:space="preserve">PAGE  </w:instrText>
    </w:r>
    <w:r>
      <w:rPr>
        <w:rStyle w:val="PageNumber"/>
      </w:rPr>
      <w:fldChar w:fldCharType="separate"/>
    </w:r>
    <w:r w:rsidR="00ED6A00">
      <w:rPr>
        <w:rStyle w:val="PageNumber"/>
        <w:noProof/>
      </w:rPr>
      <w:t>1</w:t>
    </w:r>
    <w:r>
      <w:rPr>
        <w:rStyle w:val="PageNumber"/>
      </w:rPr>
      <w:fldChar w:fldCharType="end"/>
    </w:r>
  </w:p>
  <w:p w14:paraId="2E999C6A" w14:textId="712842B2" w:rsidR="009E40FE" w:rsidRDefault="004334B2" w:rsidP="004334B2">
    <w:pPr>
      <w:pStyle w:val="Footer"/>
      <w:ind w:right="360"/>
    </w:pPr>
    <w:bookmarkStart w:id="0" w:name="_GoBack"/>
    <w:bookmarkEnd w:id="0"/>
    <w:r>
      <w:tab/>
    </w: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7B0E5" w14:textId="77777777" w:rsidR="009E40FE" w:rsidRDefault="009E40F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1E271E" w14:textId="77777777" w:rsidR="009E40FE" w:rsidRDefault="009E40F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E8894" w14:textId="0197742A" w:rsidR="009E40FE" w:rsidRDefault="009E40FE">
    <w:pPr>
      <w:pStyle w:val="Header"/>
    </w:pPr>
    <w:r w:rsidRPr="00060C23">
      <w:rPr>
        <w:noProof/>
      </w:rPr>
      <w:drawing>
        <wp:anchor distT="0" distB="0" distL="114300" distR="114300" simplePos="0" relativeHeight="251659264" behindDoc="0" locked="0" layoutInCell="1" allowOverlap="0" wp14:anchorId="69158EB4" wp14:editId="4429B5A5">
          <wp:simplePos x="0" y="0"/>
          <wp:positionH relativeFrom="column">
            <wp:posOffset>4874895</wp:posOffset>
          </wp:positionH>
          <wp:positionV relativeFrom="paragraph">
            <wp:posOffset>-120015</wp:posOffset>
          </wp:positionV>
          <wp:extent cx="1043940" cy="228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_OUR_logos.png"/>
                  <pic:cNvPicPr/>
                </pic:nvPicPr>
                <pic:blipFill>
                  <a:blip r:embed="rId1">
                    <a:extLst>
                      <a:ext uri="{28A0092B-C50C-407E-A947-70E740481C1C}">
                        <a14:useLocalDpi xmlns:a14="http://schemas.microsoft.com/office/drawing/2010/main" val="0"/>
                      </a:ext>
                    </a:extLst>
                  </a:blip>
                  <a:stretch>
                    <a:fillRect/>
                  </a:stretch>
                </pic:blipFill>
                <pic:spPr>
                  <a:xfrm>
                    <a:off x="0" y="0"/>
                    <a:ext cx="1043940" cy="228600"/>
                  </a:xfrm>
                  <a:prstGeom prst="rect">
                    <a:avLst/>
                  </a:prstGeom>
                </pic:spPr>
              </pic:pic>
            </a:graphicData>
          </a:graphic>
          <wp14:sizeRelH relativeFrom="margin">
            <wp14:pctWidth>0</wp14:pctWidth>
          </wp14:sizeRelH>
        </wp:anchor>
      </w:drawing>
    </w:r>
    <w:r>
      <w:ptab w:relativeTo="margin" w:alignment="right" w:leader="none"/>
    </w:r>
  </w:p>
  <w:p w14:paraId="2A500FB4" w14:textId="77777777" w:rsidR="0047280E" w:rsidRDefault="0047280E">
    <w:pPr>
      <w:pStyle w:val="Header"/>
    </w:pPr>
  </w:p>
  <w:p w14:paraId="30036C25" w14:textId="77777777" w:rsidR="001E3EA7" w:rsidRDefault="001E3EA7">
    <w:pPr>
      <w:pStyle w:val="Header"/>
    </w:pPr>
  </w:p>
  <w:p w14:paraId="71D671F4" w14:textId="5CB14710" w:rsidR="0047280E" w:rsidRDefault="00E54CE6">
    <w:pPr>
      <w:pStyle w:val="Header"/>
    </w:pPr>
    <w:r>
      <w:pict w14:anchorId="180017B1">
        <v:rect id="_x0000_i1025" style="width:0;height:1.5pt" o:hralign="center" o:hrstd="t" o:hr="t" fillcolor="#aaa" stroked="f"/>
      </w:pict>
    </w:r>
  </w:p>
  <w:p w14:paraId="5699A3D6" w14:textId="5F2F2DF8" w:rsidR="001E3EA7" w:rsidRDefault="001E3EA7">
    <w:pPr>
      <w:pStyle w:val="Header"/>
    </w:pPr>
    <w:r>
      <w:t>NAME</w:t>
    </w:r>
    <w:r>
      <w:tab/>
      <w:t>DATE</w:t>
    </w:r>
    <w:r>
      <w:tab/>
      <w:t>PERIOD</w:t>
    </w:r>
  </w:p>
  <w:p w14:paraId="4ADE8C9C" w14:textId="77777777" w:rsidR="0047280E" w:rsidRDefault="0047280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E40C3" w14:textId="77777777" w:rsidR="009E40FE" w:rsidRDefault="009E40FE">
    <w:pPr>
      <w:pStyle w:val="Header"/>
    </w:pPr>
  </w:p>
</w:hdr>
</file>

<file path=word/numbering.xml><?xml version="1.0" encoding="utf-8"?>
<w:numbering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E17F69BA"/>
    <w:multiLevelType w:val="multilevel"/>
    <w:tmpl w:val="E014FE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
    <w:nsid w:val="4F6ADBBF"/>
    <w:multiLevelType w:val="multilevel"/>
    <w:tmpl w:val="329E54F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abstractNumId w:val="0"/>
  </w:num>
  <w:num w:numId="2">
    <w:abstractNumId w:val="1"/>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bidi="x-none" w:eastAsia="x-none"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82"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Header" w:type="paragraph">
    <w:name w:val="header"/>
    <w:basedOn w:val="Normal"/>
    <w:link w:val="HeaderChar"/>
    <w:unhideWhenUsed/>
    <w:rsid w:val="009E40FE"/>
    <w:pPr>
      <w:tabs>
        <w:tab w:pos="4680" w:val="center"/>
        <w:tab w:pos="9360" w:val="right"/>
      </w:tabs>
      <w:spacing w:after="0"/>
    </w:pPr>
  </w:style>
  <w:style w:customStyle="1" w:styleId="HeaderChar" w:type="character">
    <w:name w:val="Header Char"/>
    <w:basedOn w:val="DefaultParagraphFont"/>
    <w:link w:val="Header"/>
    <w:rsid w:val="009E40FE"/>
  </w:style>
  <w:style w:styleId="Footer" w:type="paragraph">
    <w:name w:val="footer"/>
    <w:basedOn w:val="Normal"/>
    <w:link w:val="FooterChar"/>
    <w:unhideWhenUsed/>
    <w:rsid w:val="009E40FE"/>
    <w:pPr>
      <w:tabs>
        <w:tab w:pos="4680" w:val="center"/>
        <w:tab w:pos="9360" w:val="right"/>
      </w:tabs>
      <w:spacing w:after="0"/>
    </w:pPr>
  </w:style>
  <w:style w:customStyle="1" w:styleId="FooterChar" w:type="character">
    <w:name w:val="Footer Char"/>
    <w:basedOn w:val="DefaultParagraphFont"/>
    <w:link w:val="Footer"/>
    <w:rsid w:val="009E40FE"/>
  </w:style>
  <w:style w:styleId="PageNumber" w:type="character">
    <w:name w:val="page number"/>
    <w:basedOn w:val="DefaultParagraphFont"/>
    <w:semiHidden/>
    <w:unhideWhenUsed/>
    <w:rsid w:val="004334B2"/>
  </w:style>
  <w:style w:styleId="FollowedHyperlink" w:type="character">
    <w:name w:val="FollowedHyperlink"/>
    <w:basedOn w:val="DefaultParagraphFont"/>
    <w:semiHidden/>
    <w:unhideWhenUsed/>
    <w:rsid w:val="0007094A"/>
    <w:rPr>
      <w:color w:themeColor="followedHyperlink"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1.xml" Type="http://schemas.openxmlformats.org/officeDocument/2006/relationships/header" /><Relationship Id="rId11" Target="header2.xml" Type="http://schemas.openxmlformats.org/officeDocument/2006/relationships/header" /><Relationship Id="rId12" Target="footer2.xml" Type="http://schemas.openxmlformats.org/officeDocument/2006/relationships/footer" /><Relationship Id="rId13" Target="footer3.xml" Type="http://schemas.openxmlformats.org/officeDocument/2006/relationships/footer" /><Relationship Id="rId14"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Words>
  <Characters>11</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2023-05-04T19:12:54Z</dcterms:created>
  <dcterms:modified xsi:type="dcterms:W3CDTF">2023-05-04T19:12:54Z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rf-param">
    <vt:lpwstr>authenticity_token</vt:lpwstr>
  </property>
  <property fmtid="{D5CDD505-2E9C-101B-9397-08002B2CF9AE}" pid="3" name="csrf-token">
    <vt:lpwstr>RgdMqqSJKWQoG5UD6vVKkw5z7lesbVUc7a6p70pMnqRl8qWayyUEMkzQWuy3UDtz8k+uyfdj7e+YZuaWcr78CA==</vt:lpwstr>
  </property>
</Properties>
</file>