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5-practice-problems"/>
    <w:p>
      <w:pPr>
        <w:pStyle w:val="Heading3"/>
      </w:pPr>
      <w:r>
        <w:t xml:space="preserve">Lesson 5 Practice Problems</w:t>
      </w:r>
    </w:p>
    <w:bookmarkEnd w:id="20"/>
    <w:p>
      <w:pPr>
        <w:numPr>
          <w:ilvl w:val="0"/>
          <w:numId w:val="1001"/>
        </w:numPr>
      </w:pPr>
      <w:r>
        <w:t xml:space="preserve">Each of these is a pair of equivalent ratios. For each pair, explain why they are equivalent ratios or draw a diagram that shows why they are equivalent ratios.</w:t>
      </w:r>
    </w:p>
    <w:p>
      <w:pPr>
        <w:numPr>
          <w:ilvl w:val="1"/>
          <w:numId w:val="1002"/>
        </w:numPr>
        <w:pStyle w:val="Compact"/>
      </w:pPr>
      <m:oMath>
        <m:r>
          <m:t>4</m:t>
        </m:r>
        <m:r>
          <m:rPr>
            <m:sty m:val="p"/>
          </m:rPr>
          <m:t>:</m:t>
        </m:r>
        <m:r>
          <m:t>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8</m:t>
        </m:r>
        <m:r>
          <m:rPr>
            <m:sty m:val="p"/>
          </m:rPr>
          <m:t>:</m:t>
        </m:r>
        <m:r>
          <m:t>10</m:t>
        </m:r>
      </m:oMath>
    </w:p>
    <w:p>
      <w:pPr>
        <w:numPr>
          <w:ilvl w:val="1"/>
          <w:numId w:val="1002"/>
        </w:numPr>
        <w:pStyle w:val="Compact"/>
      </w:pPr>
      <m:oMath>
        <m:r>
          <m:t>18</m:t>
        </m:r>
        <m:r>
          <m:rPr>
            <m:sty m:val="p"/>
          </m:rPr>
          <m:t>:</m:t>
        </m:r>
        <m:r>
          <m:t>3</m:t>
        </m:r>
      </m:oMath>
      <w:r>
        <w:t xml:space="preserve"> </w:t>
      </w:r>
      <w:r>
        <w:t xml:space="preserve">and </w:t>
      </w:r>
      <m:oMath>
        <m:r>
          <m:t>6</m:t>
        </m:r>
        <m:r>
          <m:rPr>
            <m:sty m:val="p"/>
          </m:rPr>
          <m:t>: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m:oMath>
        <m:r>
          <m:t>2</m:t>
        </m:r>
        <m:r>
          <m:rPr>
            <m:sty m:val="p"/>
          </m:rPr>
          <m:t>: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  <m:r>
          <m:rPr>
            <m:sty m:val="p"/>
          </m:rPr>
          <m:t>,</m:t>
        </m:r>
        <m:r>
          <m:t>​</m:t>
        </m:r>
        <m:r>
          <m:t>000</m:t>
        </m:r>
        <m:r>
          <m:rPr>
            <m:sty m:val="p"/>
          </m:rPr>
          <m:t>:</m:t>
        </m:r>
        <m:r>
          <m:t>35</m:t>
        </m:r>
        <m:r>
          <m:rPr>
            <m:sty m:val="p"/>
          </m:rPr>
          <m:t>,</m:t>
        </m:r>
        <m:r>
          <m:t>​</m:t>
        </m:r>
        <m:r>
          <m:t>000</m:t>
        </m:r>
      </m:oMath>
    </w:p>
    <w:p>
      <w:pPr>
        <w:numPr>
          <w:ilvl w:val="0"/>
          <w:numId w:val="1001"/>
        </w:numPr>
      </w:pPr>
      <w:r>
        <w:t xml:space="preserve">Explain why</w:t>
      </w:r>
      <w:r>
        <w:t xml:space="preserve"> </w:t>
      </w:r>
      <m:oMath>
        <m:r>
          <m:t>6</m:t>
        </m:r>
        <m:r>
          <m:rPr>
            <m:sty m:val="p"/>
          </m:rPr>
          <m:t>: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18</m:t>
        </m:r>
        <m:r>
          <m:rPr>
            <m:sty m:val="p"/>
          </m:rPr>
          <m:t>:</m:t>
        </m:r>
        <m:r>
          <m:t>8</m:t>
        </m:r>
      </m:oMath>
      <w:r>
        <w:t xml:space="preserve"> </w:t>
      </w:r>
      <w:r>
        <w:t xml:space="preserve">are not equivalent ratios.</w:t>
      </w:r>
    </w:p>
    <w:p>
      <w:pPr>
        <w:numPr>
          <w:ilvl w:val="0"/>
          <w:numId w:val="1001"/>
        </w:numPr>
      </w:pPr>
      <w:r>
        <w:t xml:space="preserve">Are the ratios</w:t>
      </w:r>
      <w:r>
        <w:t xml:space="preserve"> </w:t>
      </w:r>
      <m:oMath>
        <m:r>
          <m:t>3</m:t>
        </m:r>
        <m:r>
          <m:rPr>
            <m:sty m:val="p"/>
          </m:rPr>
          <m:t>: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  <m:r>
          <m:rPr>
            <m:sty m:val="p"/>
          </m:rPr>
          <m:t>:</m:t>
        </m:r>
        <m:r>
          <m:t>3</m:t>
        </m:r>
      </m:oMath>
      <w:r>
        <w:t xml:space="preserve"> </w:t>
      </w:r>
      <w:r>
        <w:t xml:space="preserve">equivalent? Why or why not?</w:t>
      </w:r>
    </w:p>
    <w:p>
      <w:pPr>
        <w:numPr>
          <w:ilvl w:val="0"/>
          <w:numId w:val="1001"/>
        </w:numPr>
      </w:pPr>
      <w:r>
        <w:t xml:space="preserve">This diagram represents 3 batches of light yellow paint. Draw a diagram that represents 1 batch of the same shade of light yellow paint.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312082" cy="737024"/>
            <wp:effectExtent b="0" l="0" r="0" t="0"/>
            <wp:docPr descr="A discrete diagram for two quantities labeled &quot;white paint, in cups&quot; and &quot;yellow paint, in cups&quot;. The data are as follows: white paint, 9 squares. yellow paint, 15 squares." title="" id="22" name="Picture"/>
            <a:graphic>
              <a:graphicData uri="http://schemas.openxmlformats.org/drawingml/2006/picture">
                <pic:pic>
                  <pic:nvPicPr>
                    <pic:cNvPr descr="/app/tmp/embedder-1683227564.827515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082" cy="73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from Unit 2, Lesson 4</w:t>
      </w:r>
    </w:p>
    <w:p>
      <w:pPr>
        <w:numPr>
          <w:ilvl w:val="0"/>
          <w:numId w:val="1001"/>
        </w:numPr>
      </w:pPr>
      <w:r>
        <w:t xml:space="preserve">In the fruit bowl there are 6 bananas, 4 apples, and 3 oranges.</w:t>
      </w:r>
    </w:p>
    <w:p>
      <w:pPr>
        <w:numPr>
          <w:ilvl w:val="1"/>
          <w:numId w:val="1004"/>
        </w:numPr>
        <w:pStyle w:val="Compact"/>
      </w:pPr>
      <w:r>
        <w:t xml:space="preserve">For every 4 __________________, there are 3 __________________.</w:t>
      </w:r>
    </w:p>
    <w:p>
      <w:pPr>
        <w:numPr>
          <w:ilvl w:val="1"/>
          <w:numId w:val="1004"/>
        </w:numPr>
        <w:pStyle w:val="Compact"/>
      </w:pPr>
      <w:r>
        <w:t xml:space="preserve">The ratio of __________________ to __________________ is</w:t>
      </w:r>
      <w:r>
        <w:t xml:space="preserve"> </w:t>
      </w:r>
      <m:oMath>
        <m:r>
          <m:t>6</m:t>
        </m:r>
        <m:r>
          <m:rPr>
            <m:sty m:val="p"/>
          </m:rPr>
          <m:t>:</m:t>
        </m:r>
        <m:r>
          <m:t>3</m:t>
        </m:r>
      </m:oMath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The ratio of __________________ to __________________ is 4 to 6.</w:t>
      </w:r>
    </w:p>
    <w:p>
      <w:pPr>
        <w:numPr>
          <w:ilvl w:val="1"/>
          <w:numId w:val="1004"/>
        </w:numPr>
        <w:pStyle w:val="Compact"/>
      </w:pPr>
      <w:r>
        <w:t xml:space="preserve">For every 1 orange, there are ______ bananas.</w:t>
      </w:r>
    </w:p>
    <w:p>
      <w:pPr>
        <w:numPr>
          <w:ilvl w:val="0"/>
          <w:numId w:val="1000"/>
        </w:numPr>
      </w:pPr>
      <w:r>
        <w:t xml:space="preserve">from Unit 2, Lesson 1</w:t>
      </w:r>
    </w:p>
    <w:p>
      <w:pPr>
        <w:numPr>
          <w:ilvl w:val="0"/>
          <w:numId w:val="1001"/>
        </w:numPr>
      </w:pPr>
      <w:r>
        <w:t xml:space="preserve">Write fractions for points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on the number line.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1834916" cy="253830"/>
            <wp:effectExtent b="0" l="0" r="0" t="0"/>
            <wp:docPr descr="Number line, 7 evenly spaced tick marks, labeled zero, blank, A, blank, blank, B, blank, 1." title="" id="25" name="Picture"/>
            <a:graphic>
              <a:graphicData uri="http://schemas.openxmlformats.org/drawingml/2006/picture">
                <pic:pic>
                  <pic:nvPicPr>
                    <pic:cNvPr descr="/app/tmp/embedder-1683227564.917949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916" cy="25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from Unit 2, Lesson 1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2023-05-04T19:12:45Z</dcterms:created>
  <dcterms:modified xsi:type="dcterms:W3CDTF">2023-05-04T19:12:45Z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nJ5Fo5QiNHPaHNKYTxWOuWrG7Fzky6ISZr0JIbvnSTG/a6yT+44ZJb7XHXcSsP9Zlvqswr/FGuETdUZYgxUrnQ==</vt:lpwstr>
  </property>
</Properties>
</file>